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7EDE" w14:textId="26D7F144" w:rsidR="00671D4C" w:rsidRDefault="006C564C">
      <w:r>
        <w:rPr>
          <w:noProof/>
        </w:rPr>
        <w:drawing>
          <wp:anchor distT="0" distB="0" distL="0" distR="0" simplePos="0" relativeHeight="251662336" behindDoc="1" locked="0" layoutInCell="1" allowOverlap="1" wp14:anchorId="022F8024" wp14:editId="39779763">
            <wp:simplePos x="0" y="0"/>
            <wp:positionH relativeFrom="page">
              <wp:posOffset>2252345</wp:posOffset>
            </wp:positionH>
            <wp:positionV relativeFrom="paragraph">
              <wp:posOffset>127000</wp:posOffset>
            </wp:positionV>
            <wp:extent cx="1847276" cy="157733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47276" cy="1577339"/>
                    </a:xfrm>
                    <a:prstGeom prst="rect">
                      <a:avLst/>
                    </a:prstGeom>
                  </pic:spPr>
                </pic:pic>
              </a:graphicData>
            </a:graphic>
          </wp:anchor>
        </w:drawing>
      </w:r>
      <w:r>
        <w:rPr>
          <w:noProof/>
        </w:rPr>
        <w:drawing>
          <wp:anchor distT="0" distB="0" distL="114300" distR="114300" simplePos="0" relativeHeight="251663360" behindDoc="1" locked="0" layoutInCell="1" allowOverlap="1" wp14:anchorId="247612FB" wp14:editId="4EABABEA">
            <wp:simplePos x="0" y="0"/>
            <wp:positionH relativeFrom="column">
              <wp:posOffset>100965</wp:posOffset>
            </wp:positionH>
            <wp:positionV relativeFrom="paragraph">
              <wp:posOffset>0</wp:posOffset>
            </wp:positionV>
            <wp:extent cx="896267" cy="419100"/>
            <wp:effectExtent l="0" t="0" r="0" b="0"/>
            <wp:wrapNone/>
            <wp:docPr id="1160891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267"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B05AF" w14:textId="765D4959" w:rsidR="00AC43DA" w:rsidRPr="001227B6" w:rsidRDefault="002A70C2" w:rsidP="006C564C">
      <w:pPr>
        <w:pStyle w:val="a3"/>
        <w:tabs>
          <w:tab w:val="left" w:pos="7513"/>
        </w:tabs>
        <w:spacing w:before="60"/>
        <w:ind w:left="3969" w:right="267" w:firstLine="0"/>
        <w:jc w:val="right"/>
        <w:rPr>
          <w:lang w:val="en-US"/>
        </w:rPr>
      </w:pPr>
      <w:r w:rsidRPr="001227B6">
        <w:rPr>
          <w:lang w:val="en-US"/>
        </w:rPr>
        <w:t>APPROVED</w:t>
      </w:r>
      <w:r w:rsidR="001227B6">
        <w:rPr>
          <w:lang w:val="en-US"/>
        </w:rPr>
        <w:t xml:space="preserve"> by</w:t>
      </w:r>
    </w:p>
    <w:p w14:paraId="46C5C7F1" w14:textId="77777777" w:rsidR="00AC43DA" w:rsidRPr="001227B6" w:rsidRDefault="00303B2C" w:rsidP="006C564C">
      <w:pPr>
        <w:pStyle w:val="a3"/>
        <w:tabs>
          <w:tab w:val="left" w:pos="7513"/>
        </w:tabs>
        <w:ind w:left="3969" w:right="267" w:firstLine="0"/>
        <w:jc w:val="right"/>
        <w:rPr>
          <w:lang w:val="en-US"/>
        </w:rPr>
      </w:pPr>
      <w:r w:rsidRPr="001227B6">
        <w:rPr>
          <w:lang w:val="en-US"/>
        </w:rPr>
        <w:t>CEO</w:t>
      </w:r>
    </w:p>
    <w:p w14:paraId="2C943953" w14:textId="3BF68E0A" w:rsidR="00AC43DA" w:rsidRPr="001227B6" w:rsidRDefault="006C564C" w:rsidP="006C564C">
      <w:pPr>
        <w:pStyle w:val="a3"/>
        <w:tabs>
          <w:tab w:val="left" w:pos="7513"/>
        </w:tabs>
        <w:ind w:left="3969" w:right="267" w:firstLine="0"/>
        <w:jc w:val="right"/>
        <w:rPr>
          <w:lang w:val="en-US"/>
        </w:rPr>
      </w:pPr>
      <w:r w:rsidRPr="00E15906">
        <w:rPr>
          <w:color w:val="222222"/>
          <w:lang w:val="en-US"/>
        </w:rPr>
        <w:t>TestGene</w:t>
      </w:r>
      <w:r w:rsidR="00303B2C" w:rsidRPr="001227B6">
        <w:rPr>
          <w:spacing w:val="-1"/>
          <w:lang w:val="en-US"/>
        </w:rPr>
        <w:t xml:space="preserve"> LLC</w:t>
      </w:r>
    </w:p>
    <w:p w14:paraId="4D67F7A6" w14:textId="03B93962" w:rsidR="00AC43DA" w:rsidRPr="001227B6" w:rsidRDefault="006C564C" w:rsidP="006C564C">
      <w:pPr>
        <w:pStyle w:val="a3"/>
        <w:tabs>
          <w:tab w:val="left" w:pos="1733"/>
          <w:tab w:val="left" w:pos="5812"/>
        </w:tabs>
        <w:ind w:left="3969" w:right="267" w:firstLine="0"/>
        <w:jc w:val="right"/>
        <w:rPr>
          <w:lang w:val="en-US"/>
        </w:rPr>
      </w:pPr>
      <w:r w:rsidRPr="006C564C">
        <w:rPr>
          <w:lang w:val="en-US"/>
        </w:rPr>
        <w:t>______________</w:t>
      </w:r>
      <w:r>
        <w:rPr>
          <w:lang w:val="en-US"/>
        </w:rPr>
        <w:t xml:space="preserve">A. </w:t>
      </w:r>
      <w:r w:rsidR="00303B2C" w:rsidRPr="001227B6">
        <w:rPr>
          <w:lang w:val="en-US"/>
        </w:rPr>
        <w:t>Toropovsky</w:t>
      </w:r>
    </w:p>
    <w:p w14:paraId="2894749F" w14:textId="4F450B86" w:rsidR="00AC43DA" w:rsidRPr="001227B6" w:rsidRDefault="002A70C2" w:rsidP="006C564C">
      <w:pPr>
        <w:pStyle w:val="a3"/>
        <w:tabs>
          <w:tab w:val="left" w:pos="7513"/>
        </w:tabs>
        <w:ind w:left="3969" w:right="267" w:firstLine="0"/>
        <w:jc w:val="right"/>
        <w:rPr>
          <w:lang w:val="en-US"/>
        </w:rPr>
      </w:pPr>
      <w:r w:rsidRPr="001227B6">
        <w:rPr>
          <w:lang w:val="en-US"/>
        </w:rPr>
        <w:t>"26" August 2021</w:t>
      </w:r>
    </w:p>
    <w:p w14:paraId="624ABF04" w14:textId="77777777" w:rsidR="00AC43DA" w:rsidRPr="001227B6" w:rsidRDefault="00AC43DA">
      <w:pPr>
        <w:pStyle w:val="a3"/>
        <w:ind w:left="0" w:firstLine="0"/>
        <w:jc w:val="left"/>
        <w:rPr>
          <w:sz w:val="20"/>
          <w:lang w:val="en-US"/>
        </w:rPr>
      </w:pPr>
    </w:p>
    <w:p w14:paraId="688EF2B0" w14:textId="77777777" w:rsidR="00AC43DA" w:rsidRPr="001227B6" w:rsidRDefault="00AC43DA">
      <w:pPr>
        <w:pStyle w:val="a3"/>
        <w:ind w:left="0" w:firstLine="0"/>
        <w:jc w:val="left"/>
        <w:rPr>
          <w:sz w:val="20"/>
          <w:lang w:val="en-US"/>
        </w:rPr>
      </w:pPr>
    </w:p>
    <w:p w14:paraId="4F013BE7" w14:textId="77777777" w:rsidR="00AC43DA" w:rsidRPr="001227B6" w:rsidRDefault="00AC43DA">
      <w:pPr>
        <w:pStyle w:val="a3"/>
        <w:ind w:left="0" w:firstLine="0"/>
        <w:jc w:val="left"/>
        <w:rPr>
          <w:sz w:val="20"/>
          <w:lang w:val="en-US"/>
        </w:rPr>
      </w:pPr>
    </w:p>
    <w:p w14:paraId="7D63F152" w14:textId="77777777" w:rsidR="00AC43DA" w:rsidRPr="001227B6" w:rsidRDefault="00AC43DA">
      <w:pPr>
        <w:pStyle w:val="a3"/>
        <w:ind w:left="0" w:firstLine="0"/>
        <w:jc w:val="left"/>
        <w:rPr>
          <w:sz w:val="20"/>
          <w:lang w:val="en-US"/>
        </w:rPr>
      </w:pPr>
    </w:p>
    <w:p w14:paraId="7E2DBFE9" w14:textId="77777777" w:rsidR="00AC43DA" w:rsidRPr="001227B6" w:rsidRDefault="00AC43DA">
      <w:pPr>
        <w:pStyle w:val="a3"/>
        <w:ind w:left="0" w:firstLine="0"/>
        <w:jc w:val="left"/>
        <w:rPr>
          <w:sz w:val="20"/>
          <w:lang w:val="en-US"/>
        </w:rPr>
      </w:pPr>
    </w:p>
    <w:p w14:paraId="3C2847DA" w14:textId="77777777" w:rsidR="00AC43DA" w:rsidRPr="001227B6" w:rsidRDefault="00AC43DA">
      <w:pPr>
        <w:pStyle w:val="a3"/>
        <w:ind w:left="0" w:firstLine="0"/>
        <w:jc w:val="left"/>
        <w:rPr>
          <w:sz w:val="20"/>
          <w:lang w:val="en-US"/>
        </w:rPr>
      </w:pPr>
    </w:p>
    <w:p w14:paraId="705959EC" w14:textId="77777777" w:rsidR="00AC43DA" w:rsidRPr="001227B6" w:rsidRDefault="00AC43DA">
      <w:pPr>
        <w:pStyle w:val="a3"/>
        <w:spacing w:before="4"/>
        <w:ind w:left="0" w:firstLine="0"/>
        <w:jc w:val="left"/>
        <w:rPr>
          <w:sz w:val="17"/>
          <w:lang w:val="en-US"/>
        </w:rPr>
      </w:pPr>
    </w:p>
    <w:p w14:paraId="501048D3" w14:textId="77777777" w:rsidR="001227B6" w:rsidRPr="001227B6" w:rsidRDefault="001227B6" w:rsidP="001227B6">
      <w:pPr>
        <w:pStyle w:val="a4"/>
        <w:rPr>
          <w:color w:val="000000"/>
          <w:lang w:val="en-US"/>
        </w:rPr>
      </w:pPr>
      <w:r w:rsidRPr="001227B6">
        <w:rPr>
          <w:b w:val="0"/>
          <w:color w:val="000000"/>
          <w:lang w:val="en-US"/>
        </w:rPr>
        <w:t>INSTRUCTION FOR USE</w:t>
      </w:r>
    </w:p>
    <w:p w14:paraId="4D982E80" w14:textId="4F78C01D" w:rsidR="006C564C" w:rsidRPr="006C564C" w:rsidRDefault="006C564C" w:rsidP="006C564C">
      <w:pPr>
        <w:pStyle w:val="a3"/>
        <w:ind w:left="142" w:right="409" w:firstLine="0"/>
        <w:jc w:val="center"/>
        <w:rPr>
          <w:b/>
          <w:color w:val="000000"/>
          <w:sz w:val="28"/>
          <w:szCs w:val="28"/>
          <w:lang w:val="en-US"/>
        </w:rPr>
      </w:pPr>
      <w:r w:rsidRPr="006C564C">
        <w:rPr>
          <w:b/>
          <w:color w:val="000000"/>
          <w:sz w:val="28"/>
          <w:szCs w:val="28"/>
          <w:lang w:val="en-US"/>
        </w:rPr>
        <w:t>Reagent kit for simultaneous qualitative detection of NA viruses of hepatitis B, C, D by multiplex RT-PCR</w:t>
      </w:r>
    </w:p>
    <w:p w14:paraId="653CEE48" w14:textId="623CBF03" w:rsidR="00AC43DA" w:rsidRPr="001227B6" w:rsidRDefault="006C564C" w:rsidP="006C564C">
      <w:pPr>
        <w:pStyle w:val="a3"/>
        <w:ind w:left="142" w:right="409" w:firstLine="0"/>
        <w:jc w:val="center"/>
        <w:rPr>
          <w:b/>
          <w:sz w:val="30"/>
          <w:lang w:val="en-US"/>
        </w:rPr>
      </w:pPr>
      <w:r w:rsidRPr="006C564C">
        <w:rPr>
          <w:b/>
          <w:color w:val="000000"/>
          <w:sz w:val="28"/>
          <w:szCs w:val="28"/>
          <w:lang w:val="en-US"/>
        </w:rPr>
        <w:t>“HEPA-BCD-test”</w:t>
      </w:r>
    </w:p>
    <w:p w14:paraId="6D8E2588" w14:textId="478B9A21" w:rsidR="00AC43DA" w:rsidRPr="001227B6" w:rsidRDefault="00AC43DA">
      <w:pPr>
        <w:pStyle w:val="a3"/>
        <w:ind w:left="0" w:firstLine="0"/>
        <w:jc w:val="left"/>
        <w:rPr>
          <w:b/>
          <w:sz w:val="30"/>
          <w:lang w:val="en-US"/>
        </w:rPr>
      </w:pPr>
    </w:p>
    <w:p w14:paraId="0142C966" w14:textId="77777777" w:rsidR="00AC43DA" w:rsidRPr="001227B6" w:rsidRDefault="00AC43DA">
      <w:pPr>
        <w:pStyle w:val="a3"/>
        <w:ind w:left="0" w:firstLine="0"/>
        <w:jc w:val="left"/>
        <w:rPr>
          <w:b/>
          <w:sz w:val="30"/>
          <w:lang w:val="en-US"/>
        </w:rPr>
      </w:pPr>
    </w:p>
    <w:p w14:paraId="7A34EC3F" w14:textId="77777777" w:rsidR="00AC43DA" w:rsidRPr="001227B6" w:rsidRDefault="00AC43DA">
      <w:pPr>
        <w:pStyle w:val="a3"/>
        <w:ind w:left="0" w:firstLine="0"/>
        <w:jc w:val="left"/>
        <w:rPr>
          <w:b/>
          <w:sz w:val="30"/>
          <w:lang w:val="en-US"/>
        </w:rPr>
      </w:pPr>
    </w:p>
    <w:p w14:paraId="5B5834CE" w14:textId="77777777" w:rsidR="00AC43DA" w:rsidRPr="001227B6" w:rsidRDefault="00AC43DA">
      <w:pPr>
        <w:pStyle w:val="a3"/>
        <w:ind w:left="0" w:firstLine="0"/>
        <w:jc w:val="left"/>
        <w:rPr>
          <w:b/>
          <w:sz w:val="30"/>
          <w:lang w:val="en-US"/>
        </w:rPr>
      </w:pPr>
    </w:p>
    <w:p w14:paraId="61EEBB3E" w14:textId="77777777" w:rsidR="00AC43DA" w:rsidRPr="001227B6" w:rsidRDefault="00AC43DA">
      <w:pPr>
        <w:pStyle w:val="a3"/>
        <w:ind w:left="0" w:firstLine="0"/>
        <w:jc w:val="left"/>
        <w:rPr>
          <w:b/>
          <w:sz w:val="30"/>
          <w:lang w:val="en-US"/>
        </w:rPr>
      </w:pPr>
    </w:p>
    <w:p w14:paraId="1E9235C2" w14:textId="77777777" w:rsidR="00AC43DA" w:rsidRPr="001227B6" w:rsidRDefault="00AC43DA">
      <w:pPr>
        <w:pStyle w:val="a3"/>
        <w:ind w:left="0" w:firstLine="0"/>
        <w:jc w:val="left"/>
        <w:rPr>
          <w:b/>
          <w:sz w:val="30"/>
          <w:lang w:val="en-US"/>
        </w:rPr>
      </w:pPr>
    </w:p>
    <w:p w14:paraId="6A250D18" w14:textId="77777777" w:rsidR="00AC43DA" w:rsidRPr="001227B6" w:rsidRDefault="00AC43DA">
      <w:pPr>
        <w:pStyle w:val="a3"/>
        <w:ind w:left="0" w:firstLine="0"/>
        <w:jc w:val="left"/>
        <w:rPr>
          <w:b/>
          <w:sz w:val="30"/>
          <w:lang w:val="en-US"/>
        </w:rPr>
      </w:pPr>
    </w:p>
    <w:p w14:paraId="0FE2AEFF" w14:textId="77777777" w:rsidR="00AC43DA" w:rsidRPr="001227B6" w:rsidRDefault="00AC43DA">
      <w:pPr>
        <w:pStyle w:val="a3"/>
        <w:spacing w:before="5"/>
        <w:ind w:left="0" w:firstLine="0"/>
        <w:jc w:val="left"/>
        <w:rPr>
          <w:b/>
          <w:sz w:val="39"/>
          <w:lang w:val="en-US"/>
        </w:rPr>
      </w:pPr>
    </w:p>
    <w:p w14:paraId="0660242A" w14:textId="6F7B7155" w:rsidR="00AC43DA" w:rsidRPr="001227B6" w:rsidRDefault="006C564C">
      <w:pPr>
        <w:pStyle w:val="a3"/>
        <w:ind w:left="536" w:right="556" w:firstLine="0"/>
        <w:jc w:val="center"/>
        <w:rPr>
          <w:lang w:val="en-US"/>
        </w:rPr>
      </w:pPr>
      <w:r w:rsidRPr="006C564C">
        <w:rPr>
          <w:color w:val="000000"/>
          <w:lang w:val="en-US"/>
        </w:rPr>
        <w:t>Technical specifications</w:t>
      </w:r>
      <w:r w:rsidR="00100527" w:rsidRPr="00100527">
        <w:rPr>
          <w:color w:val="000000"/>
          <w:lang w:val="en-US"/>
        </w:rPr>
        <w:t xml:space="preserve"> </w:t>
      </w:r>
      <w:r w:rsidR="00303B2C" w:rsidRPr="001227B6">
        <w:rPr>
          <w:lang w:val="en-US"/>
        </w:rPr>
        <w:t>21.20.23-021-97638376-2020</w:t>
      </w:r>
    </w:p>
    <w:p w14:paraId="3158033A" w14:textId="77777777" w:rsidR="00AC43DA" w:rsidRPr="001227B6" w:rsidRDefault="00AC43DA">
      <w:pPr>
        <w:pStyle w:val="a3"/>
        <w:ind w:left="0" w:firstLine="0"/>
        <w:jc w:val="left"/>
        <w:rPr>
          <w:sz w:val="26"/>
          <w:lang w:val="en-US"/>
        </w:rPr>
      </w:pPr>
    </w:p>
    <w:p w14:paraId="188082BE" w14:textId="77777777" w:rsidR="00AC43DA" w:rsidRPr="001227B6" w:rsidRDefault="00AC43DA">
      <w:pPr>
        <w:pStyle w:val="a3"/>
        <w:ind w:left="0" w:firstLine="0"/>
        <w:jc w:val="left"/>
        <w:rPr>
          <w:sz w:val="26"/>
          <w:lang w:val="en-US"/>
        </w:rPr>
      </w:pPr>
    </w:p>
    <w:p w14:paraId="15246F1E" w14:textId="77777777" w:rsidR="00AC43DA" w:rsidRPr="001227B6" w:rsidRDefault="00AC43DA">
      <w:pPr>
        <w:pStyle w:val="a3"/>
        <w:ind w:left="0" w:firstLine="0"/>
        <w:jc w:val="left"/>
        <w:rPr>
          <w:sz w:val="26"/>
          <w:lang w:val="en-US"/>
        </w:rPr>
      </w:pPr>
    </w:p>
    <w:p w14:paraId="31C79F4D" w14:textId="77777777" w:rsidR="00AC43DA" w:rsidRPr="001227B6" w:rsidRDefault="00AC43DA">
      <w:pPr>
        <w:pStyle w:val="a3"/>
        <w:ind w:left="0" w:firstLine="0"/>
        <w:jc w:val="left"/>
        <w:rPr>
          <w:sz w:val="26"/>
          <w:lang w:val="en-US"/>
        </w:rPr>
      </w:pPr>
    </w:p>
    <w:p w14:paraId="523718CD" w14:textId="77777777" w:rsidR="00AC43DA" w:rsidRPr="001227B6" w:rsidRDefault="00AC43DA">
      <w:pPr>
        <w:pStyle w:val="a3"/>
        <w:ind w:left="0" w:firstLine="0"/>
        <w:jc w:val="left"/>
        <w:rPr>
          <w:sz w:val="26"/>
          <w:lang w:val="en-US"/>
        </w:rPr>
      </w:pPr>
    </w:p>
    <w:p w14:paraId="26BF436C" w14:textId="77777777" w:rsidR="00AC43DA" w:rsidRPr="001227B6" w:rsidRDefault="00AC43DA">
      <w:pPr>
        <w:pStyle w:val="a3"/>
        <w:spacing w:before="3"/>
        <w:ind w:left="0" w:firstLine="0"/>
        <w:jc w:val="left"/>
        <w:rPr>
          <w:lang w:val="en-US"/>
        </w:rPr>
      </w:pPr>
    </w:p>
    <w:p w14:paraId="128A3CA3" w14:textId="77777777" w:rsidR="00AC43DA" w:rsidRPr="001227B6" w:rsidRDefault="00303B2C">
      <w:pPr>
        <w:ind w:left="894"/>
        <w:rPr>
          <w:lang w:val="en-US"/>
        </w:rPr>
      </w:pPr>
      <w:r w:rsidRPr="001227B6">
        <w:rPr>
          <w:lang w:val="en-US"/>
        </w:rPr>
        <w:t>Version 2 from 08/26/2021</w:t>
      </w:r>
    </w:p>
    <w:p w14:paraId="5C44E7BE" w14:textId="77777777" w:rsidR="00AC43DA" w:rsidRPr="001227B6" w:rsidRDefault="00AC43DA">
      <w:pPr>
        <w:rPr>
          <w:lang w:val="en-US"/>
        </w:rPr>
        <w:sectPr w:rsidR="00AC43DA" w:rsidRPr="001227B6">
          <w:type w:val="continuous"/>
          <w:pgSz w:w="8400" w:h="11920"/>
          <w:pgMar w:top="480" w:right="240" w:bottom="280" w:left="380" w:header="720" w:footer="720" w:gutter="0"/>
          <w:cols w:space="720"/>
        </w:sectPr>
      </w:pPr>
    </w:p>
    <w:p w14:paraId="4C4B105A" w14:textId="77777777" w:rsidR="006C564C" w:rsidRDefault="006C564C">
      <w:pPr>
        <w:pStyle w:val="10"/>
        <w:tabs>
          <w:tab w:val="left" w:leader="dot" w:pos="7158"/>
        </w:tabs>
        <w:spacing w:line="275" w:lineRule="exact"/>
        <w:ind w:left="328" w:firstLine="0"/>
        <w:rPr>
          <w:b/>
          <w:bCs/>
          <w:lang w:val="en-US"/>
        </w:rPr>
      </w:pPr>
      <w:r w:rsidRPr="006C564C">
        <w:rPr>
          <w:b/>
          <w:bCs/>
          <w:lang w:val="en-US"/>
        </w:rPr>
        <w:lastRenderedPageBreak/>
        <w:t>Table of contents</w:t>
      </w:r>
    </w:p>
    <w:sdt>
      <w:sdtPr>
        <w:id w:val="-1421871748"/>
        <w:docPartObj>
          <w:docPartGallery w:val="Table of Contents"/>
          <w:docPartUnique/>
        </w:docPartObj>
      </w:sdtPr>
      <w:sdtEndPr/>
      <w:sdtContent>
        <w:p w14:paraId="4998C410" w14:textId="175FABB6" w:rsidR="00AC43DA" w:rsidRPr="001227B6" w:rsidRDefault="00FC0F55">
          <w:pPr>
            <w:pStyle w:val="10"/>
            <w:tabs>
              <w:tab w:val="left" w:leader="dot" w:pos="7158"/>
            </w:tabs>
            <w:spacing w:line="275" w:lineRule="exact"/>
            <w:ind w:left="328" w:firstLine="0"/>
            <w:rPr>
              <w:lang w:val="en-US"/>
            </w:rPr>
          </w:pPr>
          <w:hyperlink w:anchor="_bookmark0" w:history="1">
            <w:r w:rsidR="00303B2C" w:rsidRPr="001227B6">
              <w:rPr>
                <w:lang w:val="en-US"/>
              </w:rPr>
              <w:t>Introduction</w:t>
            </w:r>
            <w:r w:rsidR="00303B2C" w:rsidRPr="001227B6">
              <w:rPr>
                <w:lang w:val="en-US"/>
              </w:rPr>
              <w:tab/>
              <w:t>4</w:t>
            </w:r>
          </w:hyperlink>
        </w:p>
        <w:p w14:paraId="04A675AE" w14:textId="77777777" w:rsidR="00AC43DA" w:rsidRDefault="00FC0F55">
          <w:pPr>
            <w:pStyle w:val="10"/>
            <w:numPr>
              <w:ilvl w:val="0"/>
              <w:numId w:val="24"/>
            </w:numPr>
            <w:tabs>
              <w:tab w:val="left" w:pos="569"/>
              <w:tab w:val="left" w:leader="dot" w:pos="7158"/>
            </w:tabs>
            <w:spacing w:before="2"/>
          </w:pPr>
          <w:hyperlink w:anchor="_bookmark1" w:history="1">
            <w:r w:rsidR="00303B2C">
              <w:t>Purpose</w:t>
            </w:r>
            <w:r w:rsidR="00303B2C">
              <w:tab/>
              <w:t>6</w:t>
            </w:r>
          </w:hyperlink>
        </w:p>
        <w:p w14:paraId="00FD3BDA" w14:textId="77777777" w:rsidR="00AC43DA" w:rsidRDefault="00FC0F55">
          <w:pPr>
            <w:pStyle w:val="10"/>
            <w:numPr>
              <w:ilvl w:val="0"/>
              <w:numId w:val="24"/>
            </w:numPr>
            <w:tabs>
              <w:tab w:val="left" w:pos="569"/>
              <w:tab w:val="left" w:leader="dot" w:pos="7158"/>
            </w:tabs>
          </w:pPr>
          <w:hyperlink w:anchor="_bookmark2" w:history="1">
            <w:r w:rsidR="00303B2C">
              <w:t>Principle of the method</w:t>
            </w:r>
            <w:r w:rsidR="00303B2C">
              <w:tab/>
              <w:t>6</w:t>
            </w:r>
          </w:hyperlink>
        </w:p>
        <w:p w14:paraId="0DEDD10C" w14:textId="77777777" w:rsidR="00AC43DA" w:rsidRPr="001227B6" w:rsidRDefault="00FC0F55">
          <w:pPr>
            <w:pStyle w:val="10"/>
            <w:numPr>
              <w:ilvl w:val="0"/>
              <w:numId w:val="24"/>
            </w:numPr>
            <w:tabs>
              <w:tab w:val="left" w:pos="569"/>
              <w:tab w:val="left" w:leader="dot" w:pos="7158"/>
            </w:tabs>
            <w:spacing w:before="1"/>
            <w:rPr>
              <w:lang w:val="en-US"/>
            </w:rPr>
          </w:pPr>
          <w:hyperlink w:anchor="_bookmark3" w:history="1">
            <w:r w:rsidR="00303B2C" w:rsidRPr="001227B6">
              <w:rPr>
                <w:lang w:val="en-US"/>
              </w:rPr>
              <w:t>Composition of the reagent kit</w:t>
            </w:r>
            <w:r w:rsidR="00303B2C" w:rsidRPr="001227B6">
              <w:rPr>
                <w:lang w:val="en-US"/>
              </w:rPr>
              <w:tab/>
              <w:t>9</w:t>
            </w:r>
          </w:hyperlink>
        </w:p>
        <w:p w14:paraId="77796B56" w14:textId="77777777" w:rsidR="00AC43DA" w:rsidRPr="001227B6" w:rsidRDefault="00FC0F55">
          <w:pPr>
            <w:pStyle w:val="10"/>
            <w:numPr>
              <w:ilvl w:val="0"/>
              <w:numId w:val="24"/>
            </w:numPr>
            <w:tabs>
              <w:tab w:val="left" w:pos="569"/>
              <w:tab w:val="left" w:leader="dot" w:pos="7038"/>
            </w:tabs>
            <w:rPr>
              <w:lang w:val="en-US"/>
            </w:rPr>
          </w:pPr>
          <w:hyperlink w:anchor="_bookmark4" w:history="1">
            <w:r w:rsidR="00303B2C" w:rsidRPr="001227B6">
              <w:rPr>
                <w:lang w:val="en-US"/>
              </w:rPr>
              <w:t>Characteristics of the reagent kit</w:t>
            </w:r>
            <w:r w:rsidR="00303B2C" w:rsidRPr="001227B6">
              <w:rPr>
                <w:lang w:val="en-US"/>
              </w:rPr>
              <w:tab/>
              <w:t>eleven</w:t>
            </w:r>
          </w:hyperlink>
        </w:p>
        <w:p w14:paraId="0817AD81" w14:textId="77777777" w:rsidR="00AC43DA" w:rsidRPr="001227B6" w:rsidRDefault="00FC0F55">
          <w:pPr>
            <w:pStyle w:val="10"/>
            <w:numPr>
              <w:ilvl w:val="0"/>
              <w:numId w:val="24"/>
            </w:numPr>
            <w:tabs>
              <w:tab w:val="left" w:pos="731"/>
              <w:tab w:val="left" w:pos="732"/>
              <w:tab w:val="left" w:leader="dot" w:pos="7038"/>
            </w:tabs>
            <w:ind w:left="328" w:right="499" w:firstLine="0"/>
            <w:rPr>
              <w:lang w:val="en-US"/>
            </w:rPr>
          </w:pPr>
          <w:hyperlink w:anchor="_bookmark5" w:history="1">
            <w:r w:rsidR="00303B2C" w:rsidRPr="001227B6">
              <w:rPr>
                <w:lang w:val="en-US"/>
              </w:rPr>
              <w:t>List of risks associated with the use of the kit</w:t>
            </w:r>
          </w:hyperlink>
          <w:r w:rsidR="00303B2C" w:rsidRPr="001227B6">
            <w:rPr>
              <w:spacing w:val="1"/>
              <w:lang w:val="en-US"/>
            </w:rPr>
            <w:t xml:space="preserve"> </w:t>
          </w:r>
          <w:hyperlink w:anchor="_bookmark5" w:history="1">
            <w:r w:rsidR="00303B2C" w:rsidRPr="001227B6">
              <w:rPr>
                <w:lang w:val="en-US"/>
              </w:rPr>
              <w:t>reagents</w:t>
            </w:r>
            <w:r w:rsidR="00303B2C" w:rsidRPr="001227B6">
              <w:rPr>
                <w:lang w:val="en-US"/>
              </w:rPr>
              <w:tab/>
            </w:r>
            <w:r w:rsidR="00303B2C" w:rsidRPr="001227B6">
              <w:rPr>
                <w:spacing w:val="-2"/>
                <w:lang w:val="en-US"/>
              </w:rPr>
              <w:t>19</w:t>
            </w:r>
          </w:hyperlink>
        </w:p>
        <w:p w14:paraId="0F67F546" w14:textId="77777777" w:rsidR="00AC43DA" w:rsidRPr="001227B6" w:rsidRDefault="00FC0F55">
          <w:pPr>
            <w:pStyle w:val="10"/>
            <w:numPr>
              <w:ilvl w:val="0"/>
              <w:numId w:val="24"/>
            </w:numPr>
            <w:tabs>
              <w:tab w:val="left" w:pos="569"/>
              <w:tab w:val="left" w:leader="dot" w:pos="7038"/>
            </w:tabs>
            <w:rPr>
              <w:lang w:val="en-US"/>
            </w:rPr>
          </w:pPr>
          <w:hyperlink w:anchor="_bookmark6" w:history="1">
            <w:r w:rsidR="00303B2C" w:rsidRPr="001227B6">
              <w:rPr>
                <w:lang w:val="en-US"/>
              </w:rPr>
              <w:t>Precautions when working with the kit</w:t>
            </w:r>
          </w:hyperlink>
          <w:r w:rsidR="00303B2C" w:rsidRPr="001227B6">
            <w:rPr>
              <w:lang w:val="en-US"/>
            </w:rPr>
            <w:tab/>
            <w:t>20</w:t>
          </w:r>
        </w:p>
        <w:p w14:paraId="223935E1" w14:textId="77777777" w:rsidR="00AC43DA" w:rsidRPr="001227B6" w:rsidRDefault="00FC0F55">
          <w:pPr>
            <w:pStyle w:val="10"/>
            <w:numPr>
              <w:ilvl w:val="0"/>
              <w:numId w:val="24"/>
            </w:numPr>
            <w:tabs>
              <w:tab w:val="left" w:pos="653"/>
            </w:tabs>
            <w:ind w:left="652" w:hanging="328"/>
            <w:rPr>
              <w:lang w:val="en-US"/>
            </w:rPr>
          </w:pPr>
          <w:hyperlink w:anchor="_bookmark7" w:history="1">
            <w:r w:rsidR="00303B2C" w:rsidRPr="001227B6">
              <w:rPr>
                <w:lang w:val="en-US"/>
              </w:rPr>
              <w:t>Equipment and materials required when working with</w:t>
            </w:r>
          </w:hyperlink>
        </w:p>
        <w:p w14:paraId="07D4BC1A" w14:textId="77777777" w:rsidR="00AC43DA" w:rsidRDefault="00FC0F55">
          <w:pPr>
            <w:pStyle w:val="10"/>
            <w:tabs>
              <w:tab w:val="left" w:leader="dot" w:pos="7038"/>
            </w:tabs>
            <w:ind w:left="328" w:firstLine="0"/>
          </w:pPr>
          <w:hyperlink w:anchor="_bookmark7" w:history="1">
            <w:r w:rsidR="00303B2C">
              <w:t>set of reagents</w:t>
            </w:r>
            <w:r w:rsidR="00303B2C">
              <w:tab/>
              <w:t>2</w:t>
            </w:r>
          </w:hyperlink>
          <w:r w:rsidR="00303B2C">
            <w:t>2</w:t>
          </w:r>
        </w:p>
        <w:p w14:paraId="0740F03D" w14:textId="77777777" w:rsidR="00AC43DA" w:rsidRDefault="00FC0F55">
          <w:pPr>
            <w:pStyle w:val="10"/>
            <w:numPr>
              <w:ilvl w:val="0"/>
              <w:numId w:val="24"/>
            </w:numPr>
            <w:tabs>
              <w:tab w:val="left" w:pos="569"/>
              <w:tab w:val="left" w:leader="dot" w:pos="7038"/>
            </w:tabs>
            <w:spacing w:before="3"/>
          </w:pPr>
          <w:hyperlink w:anchor="_bookmark8" w:history="1">
            <w:r w:rsidR="00303B2C">
              <w:t>Analyzed samples</w:t>
            </w:r>
            <w:r w:rsidR="00303B2C">
              <w:tab/>
              <w:t>23</w:t>
            </w:r>
          </w:hyperlink>
        </w:p>
        <w:p w14:paraId="614D0FE0" w14:textId="77777777" w:rsidR="00AC43DA" w:rsidRDefault="00FC0F55">
          <w:pPr>
            <w:pStyle w:val="10"/>
            <w:numPr>
              <w:ilvl w:val="0"/>
              <w:numId w:val="24"/>
            </w:numPr>
            <w:tabs>
              <w:tab w:val="left" w:pos="569"/>
              <w:tab w:val="left" w:leader="dot" w:pos="7038"/>
            </w:tabs>
          </w:pPr>
          <w:hyperlink w:anchor="_bookmark9" w:history="1">
            <w:r w:rsidR="00303B2C">
              <w:t>Preparing test kit components</w:t>
            </w:r>
            <w:r w:rsidR="00303B2C">
              <w:tab/>
              <w:t>2</w:t>
            </w:r>
          </w:hyperlink>
          <w:r w:rsidR="00303B2C">
            <w:t>8</w:t>
          </w:r>
        </w:p>
        <w:p w14:paraId="6466FBA9" w14:textId="77777777" w:rsidR="00AC43DA" w:rsidRDefault="00FC0F55">
          <w:pPr>
            <w:pStyle w:val="10"/>
            <w:numPr>
              <w:ilvl w:val="0"/>
              <w:numId w:val="24"/>
            </w:numPr>
            <w:tabs>
              <w:tab w:val="left" w:pos="689"/>
              <w:tab w:val="left" w:leader="dot" w:pos="7038"/>
            </w:tabs>
            <w:ind w:left="688" w:hanging="361"/>
          </w:pPr>
          <w:hyperlink w:anchor="_bookmark10" w:history="1">
            <w:r w:rsidR="00303B2C">
              <w:t>Carrying out analysis</w:t>
            </w:r>
            <w:r w:rsidR="00303B2C">
              <w:tab/>
              <w:t>28</w:t>
            </w:r>
          </w:hyperlink>
        </w:p>
        <w:p w14:paraId="5DD162D3" w14:textId="77777777" w:rsidR="00AC43DA" w:rsidRPr="001227B6" w:rsidRDefault="00FC0F55">
          <w:pPr>
            <w:pStyle w:val="10"/>
            <w:numPr>
              <w:ilvl w:val="0"/>
              <w:numId w:val="24"/>
            </w:numPr>
            <w:tabs>
              <w:tab w:val="left" w:pos="689"/>
              <w:tab w:val="left" w:leader="dot" w:pos="7038"/>
            </w:tabs>
            <w:ind w:left="688" w:hanging="361"/>
            <w:rPr>
              <w:lang w:val="en-US"/>
            </w:rPr>
          </w:pPr>
          <w:hyperlink w:anchor="_bookmark11" w:history="1">
            <w:r w:rsidR="00303B2C" w:rsidRPr="001227B6">
              <w:rPr>
                <w:lang w:val="en-US"/>
              </w:rPr>
              <w:t>Registration and interpretation of results</w:t>
            </w:r>
            <w:r w:rsidR="00303B2C" w:rsidRPr="001227B6">
              <w:rPr>
                <w:lang w:val="en-US"/>
              </w:rPr>
              <w:tab/>
              <w:t>31</w:t>
            </w:r>
          </w:hyperlink>
        </w:p>
        <w:p w14:paraId="44C93017" w14:textId="77777777" w:rsidR="00AC43DA" w:rsidRPr="001227B6" w:rsidRDefault="00FC0F55">
          <w:pPr>
            <w:pStyle w:val="10"/>
            <w:numPr>
              <w:ilvl w:val="0"/>
              <w:numId w:val="24"/>
            </w:numPr>
            <w:tabs>
              <w:tab w:val="left" w:pos="795"/>
            </w:tabs>
            <w:spacing w:line="274" w:lineRule="exact"/>
            <w:ind w:left="794" w:hanging="470"/>
            <w:rPr>
              <w:lang w:val="en-US"/>
            </w:rPr>
          </w:pPr>
          <w:hyperlink w:anchor="_bookmark12" w:history="1">
            <w:r w:rsidR="00303B2C" w:rsidRPr="001227B6">
              <w:rPr>
                <w:lang w:val="en-US"/>
              </w:rPr>
              <w:t>Conditions of storage, transportation and operation</w:t>
            </w:r>
          </w:hyperlink>
        </w:p>
        <w:p w14:paraId="7546AA5C" w14:textId="77777777" w:rsidR="00AC43DA" w:rsidRDefault="00FC0F55">
          <w:pPr>
            <w:pStyle w:val="10"/>
            <w:tabs>
              <w:tab w:val="left" w:leader="dot" w:pos="7038"/>
            </w:tabs>
            <w:spacing w:line="274" w:lineRule="exact"/>
            <w:ind w:left="328" w:firstLine="0"/>
          </w:pPr>
          <w:hyperlink w:anchor="_bookmark12" w:history="1">
            <w:r w:rsidR="00303B2C">
              <w:t>set of reagents</w:t>
            </w:r>
            <w:r w:rsidR="00303B2C">
              <w:tab/>
              <w:t>33</w:t>
            </w:r>
          </w:hyperlink>
        </w:p>
        <w:p w14:paraId="33027A9E" w14:textId="77777777" w:rsidR="00AC43DA" w:rsidRDefault="00FC0F55">
          <w:pPr>
            <w:pStyle w:val="10"/>
            <w:numPr>
              <w:ilvl w:val="0"/>
              <w:numId w:val="24"/>
            </w:numPr>
            <w:tabs>
              <w:tab w:val="left" w:pos="689"/>
              <w:tab w:val="left" w:leader="dot" w:pos="7038"/>
            </w:tabs>
            <w:ind w:left="688" w:hanging="361"/>
          </w:pPr>
          <w:hyperlink w:anchor="_bookmark13" w:history="1">
            <w:r w:rsidR="00303B2C">
              <w:t>Disposal</w:t>
            </w:r>
            <w:r w:rsidR="00303B2C">
              <w:tab/>
              <w:t>35</w:t>
            </w:r>
          </w:hyperlink>
        </w:p>
        <w:p w14:paraId="0126C828" w14:textId="77777777" w:rsidR="00AC43DA" w:rsidRDefault="00FC0F55">
          <w:pPr>
            <w:pStyle w:val="10"/>
            <w:numPr>
              <w:ilvl w:val="0"/>
              <w:numId w:val="24"/>
            </w:numPr>
            <w:tabs>
              <w:tab w:val="left" w:pos="689"/>
              <w:tab w:val="left" w:leader="dot" w:pos="7038"/>
            </w:tabs>
            <w:spacing w:before="3"/>
            <w:ind w:left="688" w:hanging="361"/>
          </w:pPr>
          <w:hyperlink w:anchor="_bookmark14" w:history="1">
            <w:r w:rsidR="00303B2C">
              <w:t>Warranty obligations, contacts</w:t>
            </w:r>
            <w:r w:rsidR="00303B2C">
              <w:tab/>
              <w:t>36</w:t>
            </w:r>
          </w:hyperlink>
        </w:p>
        <w:p w14:paraId="47D96851" w14:textId="7D9FE214" w:rsidR="00AC43DA" w:rsidRDefault="00FC0F55">
          <w:pPr>
            <w:pStyle w:val="10"/>
            <w:tabs>
              <w:tab w:val="left" w:leader="dot" w:pos="7038"/>
            </w:tabs>
            <w:ind w:left="328" w:firstLine="0"/>
          </w:pPr>
        </w:p>
      </w:sdtContent>
    </w:sdt>
    <w:p w14:paraId="7A83D7B2" w14:textId="77777777" w:rsidR="00AC43DA" w:rsidRDefault="00AC43DA">
      <w:pPr>
        <w:sectPr w:rsidR="00AC43DA">
          <w:footerReference w:type="default" r:id="rId9"/>
          <w:pgSz w:w="8400" w:h="11920"/>
          <w:pgMar w:top="720" w:right="240" w:bottom="560" w:left="380" w:header="0" w:footer="378" w:gutter="0"/>
          <w:pgNumType w:start="2"/>
          <w:cols w:space="720"/>
        </w:sectPr>
      </w:pPr>
    </w:p>
    <w:p w14:paraId="2EF6BF07" w14:textId="77777777" w:rsidR="00AC43DA" w:rsidRPr="00E15906" w:rsidRDefault="00303B2C">
      <w:pPr>
        <w:spacing w:before="64"/>
        <w:ind w:left="532" w:right="556"/>
        <w:jc w:val="center"/>
        <w:rPr>
          <w:b/>
          <w:sz w:val="24"/>
          <w:lang w:val="en-US"/>
        </w:rPr>
      </w:pPr>
      <w:bookmarkStart w:id="0" w:name="_bookmark0"/>
      <w:bookmarkEnd w:id="0"/>
      <w:r w:rsidRPr="00E15906">
        <w:rPr>
          <w:b/>
          <w:sz w:val="24"/>
          <w:lang w:val="en-US"/>
        </w:rPr>
        <w:lastRenderedPageBreak/>
        <w:t>List of abbreviations</w:t>
      </w:r>
    </w:p>
    <w:p w14:paraId="6A31D4C4" w14:textId="77777777" w:rsidR="001227B6" w:rsidRPr="001227B6" w:rsidRDefault="001227B6" w:rsidP="002A5296">
      <w:pPr>
        <w:ind w:left="284"/>
        <w:rPr>
          <w:color w:val="000000"/>
          <w:sz w:val="24"/>
          <w:szCs w:val="24"/>
          <w:lang w:val="en-US"/>
        </w:rPr>
      </w:pPr>
      <w:r w:rsidRPr="001227B6">
        <w:rPr>
          <w:color w:val="000000"/>
          <w:sz w:val="24"/>
          <w:szCs w:val="24"/>
          <w:lang w:val="en-US"/>
        </w:rPr>
        <w:t xml:space="preserve">The following abbreviations and designations apply in these instructions: </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0"/>
        <w:gridCol w:w="5337"/>
      </w:tblGrid>
      <w:tr w:rsidR="00AC43DA" w14:paraId="70FC05EF" w14:textId="77777777" w:rsidTr="002A5296">
        <w:trPr>
          <w:trHeight w:val="275"/>
        </w:trPr>
        <w:tc>
          <w:tcPr>
            <w:tcW w:w="1540" w:type="dxa"/>
          </w:tcPr>
          <w:p w14:paraId="1A3804E7" w14:textId="77777777" w:rsidR="00AC43DA" w:rsidRDefault="00303B2C">
            <w:pPr>
              <w:pStyle w:val="TableParagraph"/>
              <w:spacing w:line="256" w:lineRule="exact"/>
              <w:rPr>
                <w:sz w:val="24"/>
              </w:rPr>
            </w:pPr>
            <w:bookmarkStart w:id="1" w:name="_Hlk159318508"/>
            <w:r>
              <w:rPr>
                <w:sz w:val="24"/>
              </w:rPr>
              <w:t>PCR</w:t>
            </w:r>
          </w:p>
        </w:tc>
        <w:tc>
          <w:tcPr>
            <w:tcW w:w="5337" w:type="dxa"/>
          </w:tcPr>
          <w:p w14:paraId="7220D799" w14:textId="77777777" w:rsidR="00AC43DA" w:rsidRDefault="00303B2C">
            <w:pPr>
              <w:pStyle w:val="TableParagraph"/>
              <w:spacing w:line="256" w:lineRule="exact"/>
              <w:rPr>
                <w:sz w:val="24"/>
              </w:rPr>
            </w:pPr>
            <w:r>
              <w:rPr>
                <w:sz w:val="24"/>
              </w:rPr>
              <w:t>polymerase chain reaction</w:t>
            </w:r>
          </w:p>
        </w:tc>
      </w:tr>
      <w:tr w:rsidR="00AC43DA" w14:paraId="0C96D196" w14:textId="77777777" w:rsidTr="002A5296">
        <w:trPr>
          <w:trHeight w:val="275"/>
        </w:trPr>
        <w:tc>
          <w:tcPr>
            <w:tcW w:w="1540" w:type="dxa"/>
          </w:tcPr>
          <w:p w14:paraId="0F7C9DAF" w14:textId="59D6F121" w:rsidR="00AC43DA" w:rsidRPr="001227B6" w:rsidRDefault="001227B6">
            <w:pPr>
              <w:pStyle w:val="TableParagraph"/>
              <w:spacing w:line="256" w:lineRule="exact"/>
              <w:rPr>
                <w:sz w:val="24"/>
                <w:lang w:val="en-US"/>
              </w:rPr>
            </w:pPr>
            <w:r>
              <w:rPr>
                <w:sz w:val="24"/>
                <w:lang w:val="en-US"/>
              </w:rPr>
              <w:t>RT</w:t>
            </w:r>
          </w:p>
        </w:tc>
        <w:tc>
          <w:tcPr>
            <w:tcW w:w="5337" w:type="dxa"/>
          </w:tcPr>
          <w:p w14:paraId="3AB9FFCB" w14:textId="77777777" w:rsidR="00AC43DA" w:rsidRDefault="00303B2C">
            <w:pPr>
              <w:pStyle w:val="TableParagraph"/>
              <w:spacing w:line="256" w:lineRule="exact"/>
              <w:rPr>
                <w:sz w:val="24"/>
              </w:rPr>
            </w:pPr>
            <w:r>
              <w:rPr>
                <w:sz w:val="24"/>
              </w:rPr>
              <w:t>reverse transcription</w:t>
            </w:r>
          </w:p>
        </w:tc>
      </w:tr>
      <w:tr w:rsidR="00AC43DA" w14:paraId="41F2C848" w14:textId="77777777" w:rsidTr="002A5296">
        <w:trPr>
          <w:trHeight w:val="277"/>
        </w:trPr>
        <w:tc>
          <w:tcPr>
            <w:tcW w:w="1540" w:type="dxa"/>
          </w:tcPr>
          <w:p w14:paraId="10F31BDF" w14:textId="77777777" w:rsidR="00AC43DA" w:rsidRDefault="00303B2C">
            <w:pPr>
              <w:pStyle w:val="TableParagraph"/>
              <w:spacing w:line="258" w:lineRule="exact"/>
              <w:rPr>
                <w:sz w:val="24"/>
              </w:rPr>
            </w:pPr>
            <w:r>
              <w:rPr>
                <w:sz w:val="24"/>
              </w:rPr>
              <w:t>DNA</w:t>
            </w:r>
          </w:p>
        </w:tc>
        <w:tc>
          <w:tcPr>
            <w:tcW w:w="5337" w:type="dxa"/>
          </w:tcPr>
          <w:p w14:paraId="5980EC36" w14:textId="77777777" w:rsidR="00AC43DA" w:rsidRDefault="00303B2C">
            <w:pPr>
              <w:pStyle w:val="TableParagraph"/>
              <w:spacing w:line="258" w:lineRule="exact"/>
              <w:rPr>
                <w:sz w:val="24"/>
              </w:rPr>
            </w:pPr>
            <w:r>
              <w:rPr>
                <w:sz w:val="24"/>
              </w:rPr>
              <w:t>deoxyrubonucleic acid</w:t>
            </w:r>
          </w:p>
        </w:tc>
      </w:tr>
      <w:tr w:rsidR="00AC43DA" w14:paraId="47952F7A" w14:textId="77777777" w:rsidTr="002A5296">
        <w:trPr>
          <w:trHeight w:val="275"/>
        </w:trPr>
        <w:tc>
          <w:tcPr>
            <w:tcW w:w="1540" w:type="dxa"/>
          </w:tcPr>
          <w:p w14:paraId="19FA44E1" w14:textId="77777777" w:rsidR="00AC43DA" w:rsidRDefault="00303B2C">
            <w:pPr>
              <w:pStyle w:val="TableParagraph"/>
              <w:spacing w:line="256" w:lineRule="exact"/>
              <w:rPr>
                <w:sz w:val="24"/>
              </w:rPr>
            </w:pPr>
            <w:r>
              <w:rPr>
                <w:sz w:val="24"/>
              </w:rPr>
              <w:t>cDNA</w:t>
            </w:r>
          </w:p>
        </w:tc>
        <w:tc>
          <w:tcPr>
            <w:tcW w:w="5337" w:type="dxa"/>
          </w:tcPr>
          <w:p w14:paraId="31313399" w14:textId="77777777" w:rsidR="00AC43DA" w:rsidRDefault="00303B2C">
            <w:pPr>
              <w:pStyle w:val="TableParagraph"/>
              <w:spacing w:line="256" w:lineRule="exact"/>
              <w:rPr>
                <w:sz w:val="24"/>
              </w:rPr>
            </w:pPr>
            <w:r>
              <w:rPr>
                <w:sz w:val="24"/>
              </w:rPr>
              <w:t>complementary DNA</w:t>
            </w:r>
          </w:p>
        </w:tc>
      </w:tr>
      <w:tr w:rsidR="00AC43DA" w14:paraId="4242BFF8" w14:textId="77777777" w:rsidTr="002A5296">
        <w:trPr>
          <w:trHeight w:val="273"/>
        </w:trPr>
        <w:tc>
          <w:tcPr>
            <w:tcW w:w="1540" w:type="dxa"/>
          </w:tcPr>
          <w:p w14:paraId="414B2C51" w14:textId="77777777" w:rsidR="00AC43DA" w:rsidRDefault="00303B2C">
            <w:pPr>
              <w:pStyle w:val="TableParagraph"/>
              <w:spacing w:line="254" w:lineRule="exact"/>
              <w:rPr>
                <w:sz w:val="24"/>
              </w:rPr>
            </w:pPr>
            <w:r>
              <w:rPr>
                <w:sz w:val="24"/>
              </w:rPr>
              <w:t>RNA</w:t>
            </w:r>
          </w:p>
        </w:tc>
        <w:tc>
          <w:tcPr>
            <w:tcW w:w="5337" w:type="dxa"/>
          </w:tcPr>
          <w:p w14:paraId="7BF006D3" w14:textId="77777777" w:rsidR="00AC43DA" w:rsidRDefault="00303B2C">
            <w:pPr>
              <w:pStyle w:val="TableParagraph"/>
              <w:spacing w:line="254" w:lineRule="exact"/>
              <w:rPr>
                <w:sz w:val="24"/>
              </w:rPr>
            </w:pPr>
            <w:r>
              <w:rPr>
                <w:sz w:val="24"/>
              </w:rPr>
              <w:t>ribonucleic acid</w:t>
            </w:r>
          </w:p>
        </w:tc>
      </w:tr>
      <w:tr w:rsidR="00AC43DA" w14:paraId="2507DAE5" w14:textId="77777777" w:rsidTr="002A5296">
        <w:trPr>
          <w:trHeight w:val="275"/>
        </w:trPr>
        <w:tc>
          <w:tcPr>
            <w:tcW w:w="1540" w:type="dxa"/>
          </w:tcPr>
          <w:p w14:paraId="15CB558D" w14:textId="77777777" w:rsidR="00AC43DA" w:rsidRDefault="00303B2C">
            <w:pPr>
              <w:pStyle w:val="TableParagraph"/>
              <w:spacing w:line="256" w:lineRule="exact"/>
              <w:rPr>
                <w:sz w:val="24"/>
              </w:rPr>
            </w:pPr>
            <w:r>
              <w:rPr>
                <w:sz w:val="24"/>
              </w:rPr>
              <w:t>HBV</w:t>
            </w:r>
          </w:p>
        </w:tc>
        <w:tc>
          <w:tcPr>
            <w:tcW w:w="5337" w:type="dxa"/>
          </w:tcPr>
          <w:p w14:paraId="349DCE80" w14:textId="77777777" w:rsidR="00AC43DA" w:rsidRDefault="00303B2C">
            <w:pPr>
              <w:pStyle w:val="TableParagraph"/>
              <w:spacing w:line="256" w:lineRule="exact"/>
              <w:rPr>
                <w:sz w:val="24"/>
              </w:rPr>
            </w:pPr>
            <w:r>
              <w:rPr>
                <w:sz w:val="24"/>
              </w:rPr>
              <w:t>hepatitis B virus</w:t>
            </w:r>
          </w:p>
        </w:tc>
      </w:tr>
      <w:tr w:rsidR="00AC43DA" w14:paraId="730721F8" w14:textId="77777777" w:rsidTr="002A5296">
        <w:trPr>
          <w:trHeight w:val="275"/>
        </w:trPr>
        <w:tc>
          <w:tcPr>
            <w:tcW w:w="1540" w:type="dxa"/>
          </w:tcPr>
          <w:p w14:paraId="3965473A" w14:textId="77777777" w:rsidR="00AC43DA" w:rsidRDefault="00303B2C">
            <w:pPr>
              <w:pStyle w:val="TableParagraph"/>
              <w:spacing w:line="256" w:lineRule="exact"/>
              <w:rPr>
                <w:sz w:val="24"/>
              </w:rPr>
            </w:pPr>
            <w:r>
              <w:rPr>
                <w:sz w:val="24"/>
              </w:rPr>
              <w:t>HCV</w:t>
            </w:r>
          </w:p>
        </w:tc>
        <w:tc>
          <w:tcPr>
            <w:tcW w:w="5337" w:type="dxa"/>
          </w:tcPr>
          <w:p w14:paraId="7D6A5335" w14:textId="77777777" w:rsidR="00AC43DA" w:rsidRDefault="00303B2C">
            <w:pPr>
              <w:pStyle w:val="TableParagraph"/>
              <w:spacing w:line="256" w:lineRule="exact"/>
              <w:rPr>
                <w:sz w:val="24"/>
              </w:rPr>
            </w:pPr>
            <w:r>
              <w:rPr>
                <w:sz w:val="24"/>
              </w:rPr>
              <w:t>hepatitis C virus</w:t>
            </w:r>
          </w:p>
        </w:tc>
      </w:tr>
      <w:tr w:rsidR="00AC43DA" w14:paraId="44469B5D" w14:textId="77777777" w:rsidTr="002A5296">
        <w:trPr>
          <w:trHeight w:val="275"/>
        </w:trPr>
        <w:tc>
          <w:tcPr>
            <w:tcW w:w="1540" w:type="dxa"/>
          </w:tcPr>
          <w:p w14:paraId="73AF21E6" w14:textId="77777777" w:rsidR="00AC43DA" w:rsidRDefault="00303B2C">
            <w:pPr>
              <w:pStyle w:val="TableParagraph"/>
              <w:spacing w:line="256" w:lineRule="exact"/>
              <w:rPr>
                <w:sz w:val="24"/>
              </w:rPr>
            </w:pPr>
            <w:r>
              <w:rPr>
                <w:sz w:val="24"/>
              </w:rPr>
              <w:t>HDV</w:t>
            </w:r>
          </w:p>
        </w:tc>
        <w:tc>
          <w:tcPr>
            <w:tcW w:w="5337" w:type="dxa"/>
          </w:tcPr>
          <w:p w14:paraId="20B469AB" w14:textId="77777777" w:rsidR="00AC43DA" w:rsidRDefault="00303B2C">
            <w:pPr>
              <w:pStyle w:val="TableParagraph"/>
              <w:spacing w:line="256" w:lineRule="exact"/>
              <w:rPr>
                <w:sz w:val="24"/>
              </w:rPr>
            </w:pPr>
            <w:r>
              <w:rPr>
                <w:sz w:val="24"/>
              </w:rPr>
              <w:t>hepatitis D virus</w:t>
            </w:r>
          </w:p>
        </w:tc>
      </w:tr>
      <w:tr w:rsidR="00AC43DA" w14:paraId="46317CAC" w14:textId="77777777" w:rsidTr="002A5296">
        <w:trPr>
          <w:trHeight w:val="277"/>
        </w:trPr>
        <w:tc>
          <w:tcPr>
            <w:tcW w:w="1540" w:type="dxa"/>
          </w:tcPr>
          <w:p w14:paraId="63C31B3F" w14:textId="3A7B0924" w:rsidR="00AC43DA" w:rsidRPr="001227B6" w:rsidRDefault="001227B6">
            <w:pPr>
              <w:pStyle w:val="TableParagraph"/>
              <w:spacing w:line="258" w:lineRule="exact"/>
              <w:rPr>
                <w:sz w:val="24"/>
                <w:lang w:val="en-US"/>
              </w:rPr>
            </w:pPr>
            <w:r>
              <w:rPr>
                <w:sz w:val="24"/>
                <w:lang w:val="en-US"/>
              </w:rPr>
              <w:t>ICS</w:t>
            </w:r>
          </w:p>
        </w:tc>
        <w:tc>
          <w:tcPr>
            <w:tcW w:w="5337" w:type="dxa"/>
          </w:tcPr>
          <w:p w14:paraId="4EF91F45" w14:textId="77777777" w:rsidR="00AC43DA" w:rsidRDefault="00303B2C">
            <w:pPr>
              <w:pStyle w:val="TableParagraph"/>
              <w:spacing w:line="258" w:lineRule="exact"/>
              <w:rPr>
                <w:sz w:val="24"/>
              </w:rPr>
            </w:pPr>
            <w:r>
              <w:rPr>
                <w:sz w:val="24"/>
              </w:rPr>
              <w:t>internal control sample</w:t>
            </w:r>
          </w:p>
        </w:tc>
      </w:tr>
      <w:tr w:rsidR="00AC43DA" w14:paraId="41CA6701" w14:textId="77777777" w:rsidTr="002A5296">
        <w:trPr>
          <w:trHeight w:val="275"/>
        </w:trPr>
        <w:tc>
          <w:tcPr>
            <w:tcW w:w="1540" w:type="dxa"/>
          </w:tcPr>
          <w:p w14:paraId="7388ADD2" w14:textId="76694054" w:rsidR="00AC43DA" w:rsidRPr="001227B6" w:rsidRDefault="001227B6">
            <w:pPr>
              <w:pStyle w:val="TableParagraph"/>
              <w:spacing w:line="256" w:lineRule="exact"/>
              <w:rPr>
                <w:sz w:val="24"/>
                <w:lang w:val="en-US"/>
              </w:rPr>
            </w:pPr>
            <w:r>
              <w:rPr>
                <w:sz w:val="24"/>
                <w:lang w:val="en-US"/>
              </w:rPr>
              <w:t>NCS</w:t>
            </w:r>
          </w:p>
        </w:tc>
        <w:tc>
          <w:tcPr>
            <w:tcW w:w="5337" w:type="dxa"/>
          </w:tcPr>
          <w:p w14:paraId="5D813B3C" w14:textId="77777777" w:rsidR="00AC43DA" w:rsidRDefault="00303B2C">
            <w:pPr>
              <w:pStyle w:val="TableParagraph"/>
              <w:spacing w:line="256" w:lineRule="exact"/>
              <w:rPr>
                <w:sz w:val="24"/>
              </w:rPr>
            </w:pPr>
            <w:r>
              <w:rPr>
                <w:sz w:val="24"/>
              </w:rPr>
              <w:t>negative control sample</w:t>
            </w:r>
          </w:p>
        </w:tc>
      </w:tr>
      <w:tr w:rsidR="00AC43DA" w14:paraId="13704C62" w14:textId="77777777" w:rsidTr="002A5296">
        <w:trPr>
          <w:trHeight w:val="275"/>
        </w:trPr>
        <w:tc>
          <w:tcPr>
            <w:tcW w:w="1540" w:type="dxa"/>
          </w:tcPr>
          <w:p w14:paraId="0CDE7505" w14:textId="4E30B10A" w:rsidR="00AC43DA" w:rsidRPr="001227B6" w:rsidRDefault="00303B2C">
            <w:pPr>
              <w:pStyle w:val="TableParagraph"/>
              <w:spacing w:line="256" w:lineRule="exact"/>
              <w:rPr>
                <w:sz w:val="24"/>
                <w:lang w:val="en-US"/>
              </w:rPr>
            </w:pPr>
            <w:r>
              <w:rPr>
                <w:sz w:val="24"/>
              </w:rPr>
              <w:t>P</w:t>
            </w:r>
            <w:r w:rsidR="001227B6">
              <w:rPr>
                <w:sz w:val="24"/>
                <w:lang w:val="en-US"/>
              </w:rPr>
              <w:t>CS</w:t>
            </w:r>
          </w:p>
        </w:tc>
        <w:tc>
          <w:tcPr>
            <w:tcW w:w="5337" w:type="dxa"/>
          </w:tcPr>
          <w:p w14:paraId="4D3C0A9F" w14:textId="77777777" w:rsidR="00AC43DA" w:rsidRDefault="00303B2C">
            <w:pPr>
              <w:pStyle w:val="TableParagraph"/>
              <w:spacing w:line="256" w:lineRule="exact"/>
              <w:rPr>
                <w:sz w:val="24"/>
              </w:rPr>
            </w:pPr>
            <w:r>
              <w:rPr>
                <w:sz w:val="24"/>
              </w:rPr>
              <w:t>positive control sample</w:t>
            </w:r>
          </w:p>
        </w:tc>
      </w:tr>
      <w:tr w:rsidR="00AC43DA" w14:paraId="3E6B4A6E" w14:textId="77777777" w:rsidTr="002A5296">
        <w:trPr>
          <w:trHeight w:val="551"/>
        </w:trPr>
        <w:tc>
          <w:tcPr>
            <w:tcW w:w="1540" w:type="dxa"/>
          </w:tcPr>
          <w:p w14:paraId="76152F58" w14:textId="010A561C" w:rsidR="00AC43DA" w:rsidRDefault="005D71E3">
            <w:pPr>
              <w:pStyle w:val="TableParagraph"/>
              <w:spacing w:line="268" w:lineRule="exact"/>
              <w:rPr>
                <w:sz w:val="24"/>
              </w:rPr>
            </w:pPr>
            <w:r>
              <w:rPr>
                <w:sz w:val="24"/>
              </w:rPr>
              <w:t>CSS</w:t>
            </w:r>
          </w:p>
        </w:tc>
        <w:tc>
          <w:tcPr>
            <w:tcW w:w="5337" w:type="dxa"/>
          </w:tcPr>
          <w:p w14:paraId="25C62AF9" w14:textId="7FBAF283" w:rsidR="00AC43DA" w:rsidRDefault="005D71E3">
            <w:pPr>
              <w:pStyle w:val="TableParagraph"/>
              <w:tabs>
                <w:tab w:val="left" w:pos="1907"/>
                <w:tab w:val="left" w:pos="3141"/>
                <w:tab w:val="left" w:pos="3931"/>
              </w:tabs>
              <w:spacing w:line="230" w:lineRule="auto"/>
              <w:ind w:right="95"/>
              <w:rPr>
                <w:sz w:val="24"/>
              </w:rPr>
            </w:pPr>
            <w:r w:rsidRPr="005D71E3">
              <w:rPr>
                <w:sz w:val="24"/>
              </w:rPr>
              <w:t>control sensitivity sample</w:t>
            </w:r>
          </w:p>
        </w:tc>
      </w:tr>
      <w:tr w:rsidR="00AC43DA" w14:paraId="7AC81D6E" w14:textId="77777777" w:rsidTr="002A5296">
        <w:trPr>
          <w:trHeight w:val="277"/>
        </w:trPr>
        <w:tc>
          <w:tcPr>
            <w:tcW w:w="1540" w:type="dxa"/>
          </w:tcPr>
          <w:p w14:paraId="35132BBD" w14:textId="2805DAFF" w:rsidR="00AC43DA" w:rsidRDefault="008F55B0">
            <w:pPr>
              <w:pStyle w:val="TableParagraph"/>
              <w:spacing w:line="258" w:lineRule="exact"/>
              <w:rPr>
                <w:sz w:val="24"/>
              </w:rPr>
            </w:pPr>
            <w:r>
              <w:rPr>
                <w:sz w:val="24"/>
              </w:rPr>
              <w:t>SBS</w:t>
            </w:r>
          </w:p>
        </w:tc>
        <w:tc>
          <w:tcPr>
            <w:tcW w:w="5337" w:type="dxa"/>
          </w:tcPr>
          <w:p w14:paraId="3B81B9F7" w14:textId="77777777" w:rsidR="00AC43DA" w:rsidRDefault="00303B2C">
            <w:pPr>
              <w:pStyle w:val="TableParagraph"/>
              <w:spacing w:line="258" w:lineRule="exact"/>
              <w:rPr>
                <w:sz w:val="24"/>
              </w:rPr>
            </w:pPr>
            <w:r>
              <w:rPr>
                <w:sz w:val="24"/>
              </w:rPr>
              <w:t>specificity control sample</w:t>
            </w:r>
          </w:p>
        </w:tc>
      </w:tr>
      <w:bookmarkEnd w:id="1"/>
    </w:tbl>
    <w:p w14:paraId="6A1E09F5" w14:textId="77777777" w:rsidR="00AC43DA" w:rsidRDefault="00AC43DA">
      <w:pPr>
        <w:spacing w:line="258" w:lineRule="exact"/>
        <w:rPr>
          <w:sz w:val="24"/>
        </w:rPr>
        <w:sectPr w:rsidR="00AC43DA">
          <w:pgSz w:w="8400" w:h="11920"/>
          <w:pgMar w:top="480" w:right="240" w:bottom="640" w:left="380" w:header="0" w:footer="378" w:gutter="0"/>
          <w:cols w:space="720"/>
        </w:sectPr>
      </w:pPr>
    </w:p>
    <w:p w14:paraId="1D70E5BB" w14:textId="77777777" w:rsidR="00AC43DA" w:rsidRDefault="00303B2C">
      <w:pPr>
        <w:pStyle w:val="1"/>
        <w:spacing w:before="60"/>
        <w:ind w:left="536" w:right="556"/>
        <w:jc w:val="center"/>
      </w:pPr>
      <w:r>
        <w:lastRenderedPageBreak/>
        <w:t>Introduction</w:t>
      </w:r>
    </w:p>
    <w:p w14:paraId="0F29F5BA" w14:textId="77777777" w:rsidR="00AC43DA" w:rsidRPr="001227B6" w:rsidRDefault="00303B2C">
      <w:pPr>
        <w:pStyle w:val="a3"/>
        <w:spacing w:before="2"/>
        <w:ind w:right="342"/>
        <w:rPr>
          <w:lang w:val="en-US"/>
        </w:rPr>
      </w:pPr>
      <w:r w:rsidRPr="001227B6">
        <w:rPr>
          <w:lang w:val="en-US"/>
        </w:rPr>
        <w:t>Infection with hepatitis B and C viruses is the main cause of acute and chronic liver disease. The hepatitis D virus, despite its lower prevalence, when co-infected or superinfected with hepatitis B, significantly complicates the course of the disease. Testing and timely diagnosis of hepatitis determine the indications for adequate therapy and allow monitoring of antiviral therapy.</w:t>
      </w:r>
    </w:p>
    <w:p w14:paraId="57C49C49" w14:textId="77777777" w:rsidR="00AC43DA" w:rsidRPr="001227B6" w:rsidRDefault="00303B2C">
      <w:pPr>
        <w:pStyle w:val="a3"/>
        <w:spacing w:before="1"/>
        <w:ind w:right="347"/>
        <w:rPr>
          <w:lang w:val="en-US"/>
        </w:rPr>
      </w:pPr>
      <w:r w:rsidRPr="001227B6">
        <w:rPr>
          <w:b/>
          <w:lang w:val="en-US"/>
        </w:rPr>
        <w:t>Target analyte:</w:t>
      </w:r>
      <w:r w:rsidRPr="001227B6">
        <w:rPr>
          <w:lang w:val="en-US"/>
        </w:rPr>
        <w:t>specific sections of the genomic DNA of the hepatitis B virus (hepatitis B, HBV), RNA of the hepatitis C viruses (hepatitis C, HCV) and D (hepatitis delta, HDV).</w:t>
      </w:r>
    </w:p>
    <w:p w14:paraId="2CAC93CF" w14:textId="77777777" w:rsidR="00AC43DA" w:rsidRPr="001227B6" w:rsidRDefault="00303B2C">
      <w:pPr>
        <w:ind w:left="328" w:right="345" w:firstLine="564"/>
        <w:jc w:val="both"/>
        <w:rPr>
          <w:sz w:val="24"/>
          <w:lang w:val="en-US"/>
        </w:rPr>
      </w:pPr>
      <w:r w:rsidRPr="001227B6">
        <w:rPr>
          <w:b/>
          <w:sz w:val="24"/>
          <w:lang w:val="en-US"/>
        </w:rPr>
        <w:t>Scientific validity of the target analyte</w:t>
      </w:r>
      <w:r w:rsidRPr="001227B6">
        <w:rPr>
          <w:sz w:val="24"/>
          <w:lang w:val="en-US"/>
        </w:rPr>
        <w:t>lies in its specificity (the uniqueness of the DNA or RNA sequence) in relation to the genomes of the hepatitis B, C and D viruses.</w:t>
      </w:r>
    </w:p>
    <w:p w14:paraId="73AF2644" w14:textId="77777777" w:rsidR="00AC43DA" w:rsidRPr="001227B6" w:rsidRDefault="00303B2C">
      <w:pPr>
        <w:pStyle w:val="a3"/>
        <w:ind w:right="354"/>
        <w:rPr>
          <w:lang w:val="en-US"/>
        </w:rPr>
      </w:pPr>
      <w:r w:rsidRPr="001227B6">
        <w:rPr>
          <w:lang w:val="en-US"/>
        </w:rPr>
        <w:t>Hepatitis B virus is a member of the hepadnaviridae family. The genome is represented by a circular DNA molecule.</w:t>
      </w:r>
    </w:p>
    <w:p w14:paraId="215BF624" w14:textId="77777777" w:rsidR="00AC43DA" w:rsidRPr="001227B6" w:rsidRDefault="00303B2C">
      <w:pPr>
        <w:pStyle w:val="a3"/>
        <w:ind w:right="346"/>
        <w:rPr>
          <w:lang w:val="en-US"/>
        </w:rPr>
      </w:pPr>
      <w:r w:rsidRPr="001227B6">
        <w:rPr>
          <w:lang w:val="en-US"/>
        </w:rPr>
        <w:t>Hepatitis C virus is a member of the flavivirus family (Flaviviridae). The genome is represented by a single-stranded linear RNA molecule. An important feature of the genome is high heterogeneity. To date, there are 8 types.</w:t>
      </w:r>
    </w:p>
    <w:p w14:paraId="5FFE8B3C" w14:textId="77777777" w:rsidR="00AC43DA" w:rsidRPr="001227B6" w:rsidRDefault="00303B2C">
      <w:pPr>
        <w:pStyle w:val="a3"/>
        <w:spacing w:before="1"/>
        <w:ind w:right="346"/>
        <w:rPr>
          <w:lang w:val="en-US"/>
        </w:rPr>
      </w:pPr>
      <w:r w:rsidRPr="001227B6">
        <w:rPr>
          <w:lang w:val="en-US"/>
        </w:rPr>
        <w:t>Hepatitis D virus is a member of the genus Deltavirus (family undefined). The genome is represented by a circular single-stranded RNA molecule about 1700 nucleotides long. The presence of hepatitis B virus is required for viral replication.</w:t>
      </w:r>
    </w:p>
    <w:p w14:paraId="43305390" w14:textId="77777777" w:rsidR="00AC43DA" w:rsidRPr="001227B6" w:rsidRDefault="00303B2C">
      <w:pPr>
        <w:pStyle w:val="a3"/>
        <w:ind w:right="341"/>
        <w:rPr>
          <w:lang w:val="en-US"/>
        </w:rPr>
      </w:pPr>
      <w:r w:rsidRPr="001227B6">
        <w:rPr>
          <w:lang w:val="en-US"/>
        </w:rPr>
        <w:t>Hepatitis B virus (HBV) and Hepatitis C virus (HCV) infections remain a global health problem. In the Russian Federation, the incidence of hepatitis B virus infection ranges from 1.85 to 128.69 per 100 thousand population in different regions of the Russian Federation. In 2018, 61.9 thousand cases of infection with the hepatitis C virus were detected in Russia. This clearly illustrates the relevance of diagnosing hepatitis viruses. The hepatitis D virus, despite its lower prevalence, when co-infected or superinfected with hepatitis B, significantly complicates the course of the disease.</w:t>
      </w:r>
    </w:p>
    <w:p w14:paraId="3002A231" w14:textId="77777777" w:rsidR="00AC43DA" w:rsidRPr="001227B6" w:rsidRDefault="00303B2C">
      <w:pPr>
        <w:spacing w:before="1"/>
        <w:ind w:left="328" w:right="349" w:firstLine="564"/>
        <w:jc w:val="both"/>
        <w:rPr>
          <w:sz w:val="24"/>
          <w:lang w:val="en-US"/>
        </w:rPr>
      </w:pPr>
      <w:r w:rsidRPr="001227B6">
        <w:rPr>
          <w:b/>
          <w:sz w:val="24"/>
          <w:lang w:val="en-US"/>
        </w:rPr>
        <w:t>Scope of application of the reagent kit:</w:t>
      </w:r>
      <w:r w:rsidRPr="001227B6">
        <w:rPr>
          <w:sz w:val="24"/>
          <w:lang w:val="en-US"/>
        </w:rPr>
        <w:t>clinical laboratory diagnosis of infectious diseases.</w:t>
      </w:r>
    </w:p>
    <w:p w14:paraId="7014F456" w14:textId="77777777" w:rsidR="00AC43DA" w:rsidRPr="001227B6" w:rsidRDefault="00303B2C">
      <w:pPr>
        <w:pStyle w:val="1"/>
        <w:rPr>
          <w:lang w:val="en-US"/>
        </w:rPr>
      </w:pPr>
      <w:r w:rsidRPr="001227B6">
        <w:rPr>
          <w:lang w:val="en-US"/>
        </w:rPr>
        <w:t>Indications and contraindications for use</w:t>
      </w:r>
    </w:p>
    <w:p w14:paraId="6EEE6C78" w14:textId="77777777" w:rsidR="00AC43DA" w:rsidRPr="001227B6" w:rsidRDefault="00303B2C">
      <w:pPr>
        <w:pStyle w:val="a3"/>
        <w:spacing w:before="3"/>
        <w:ind w:right="351"/>
        <w:rPr>
          <w:lang w:val="en-US"/>
        </w:rPr>
      </w:pPr>
      <w:r w:rsidRPr="001227B6">
        <w:rPr>
          <w:lang w:val="en-US"/>
        </w:rPr>
        <w:t>Indications for use: if infection with viral hepatitis B, C and D is suspected.</w:t>
      </w:r>
    </w:p>
    <w:p w14:paraId="4BC420B8"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3E2806B0" w14:textId="77777777" w:rsidR="00AC43DA" w:rsidRPr="001227B6" w:rsidRDefault="00303B2C">
      <w:pPr>
        <w:pStyle w:val="a3"/>
        <w:spacing w:before="60"/>
        <w:ind w:right="340"/>
        <w:rPr>
          <w:lang w:val="en-US"/>
        </w:rPr>
      </w:pPr>
      <w:r w:rsidRPr="001227B6">
        <w:rPr>
          <w:lang w:val="en-US"/>
        </w:rPr>
        <w:lastRenderedPageBreak/>
        <w:t>Contraindications for use: when used by specially trained personnel and taking into account the intended use, no contraindications have been identified.</w:t>
      </w:r>
    </w:p>
    <w:p w14:paraId="20957198" w14:textId="77777777" w:rsidR="00AC43DA" w:rsidRPr="001227B6" w:rsidRDefault="00303B2C">
      <w:pPr>
        <w:spacing w:before="7" w:line="237" w:lineRule="auto"/>
        <w:ind w:left="328" w:right="347" w:firstLine="564"/>
        <w:jc w:val="both"/>
        <w:rPr>
          <w:sz w:val="24"/>
          <w:lang w:val="en-US"/>
        </w:rPr>
      </w:pPr>
      <w:r w:rsidRPr="001227B6">
        <w:rPr>
          <w:b/>
          <w:sz w:val="24"/>
          <w:lang w:val="en-US"/>
        </w:rPr>
        <w:t>Population and demographic aspects of the use of a medical device:</w:t>
      </w:r>
      <w:r w:rsidRPr="001227B6">
        <w:rPr>
          <w:sz w:val="24"/>
          <w:lang w:val="en-US"/>
        </w:rPr>
        <w:t>No population or demographic aspects of the use of the “HEPA-BCD-test” reagent kit have been identified.</w:t>
      </w:r>
    </w:p>
    <w:p w14:paraId="20339E06" w14:textId="77777777" w:rsidR="00AC43DA" w:rsidRPr="001227B6" w:rsidRDefault="00303B2C">
      <w:pPr>
        <w:spacing w:before="2"/>
        <w:ind w:left="894"/>
        <w:jc w:val="both"/>
        <w:rPr>
          <w:sz w:val="24"/>
          <w:lang w:val="en-US"/>
        </w:rPr>
      </w:pPr>
      <w:r w:rsidRPr="001227B6">
        <w:rPr>
          <w:b/>
          <w:sz w:val="24"/>
          <w:lang w:val="en-US"/>
        </w:rPr>
        <w:t>Sterility:</w:t>
      </w:r>
      <w:r w:rsidRPr="001227B6">
        <w:rPr>
          <w:sz w:val="24"/>
          <w:lang w:val="en-US"/>
        </w:rPr>
        <w:t>the product is not sterile.</w:t>
      </w:r>
    </w:p>
    <w:p w14:paraId="774222CB" w14:textId="77777777" w:rsidR="00AC43DA" w:rsidRPr="001227B6" w:rsidRDefault="00AC43DA">
      <w:pPr>
        <w:jc w:val="both"/>
        <w:rPr>
          <w:sz w:val="24"/>
          <w:lang w:val="en-US"/>
        </w:rPr>
        <w:sectPr w:rsidR="00AC43DA" w:rsidRPr="001227B6">
          <w:pgSz w:w="8400" w:h="11920"/>
          <w:pgMar w:top="480" w:right="240" w:bottom="640" w:left="380" w:header="0" w:footer="378" w:gutter="0"/>
          <w:cols w:space="720"/>
        </w:sectPr>
      </w:pPr>
    </w:p>
    <w:p w14:paraId="3F3DC50D" w14:textId="77B7BB0D" w:rsidR="00AC43DA" w:rsidRDefault="006C564C">
      <w:pPr>
        <w:pStyle w:val="1"/>
        <w:numPr>
          <w:ilvl w:val="1"/>
          <w:numId w:val="24"/>
        </w:numPr>
        <w:tabs>
          <w:tab w:val="left" w:pos="3349"/>
        </w:tabs>
        <w:spacing w:before="60"/>
        <w:ind w:hanging="241"/>
        <w:jc w:val="both"/>
      </w:pPr>
      <w:bookmarkStart w:id="2" w:name="_bookmark1"/>
      <w:bookmarkEnd w:id="2"/>
      <w:r w:rsidRPr="00A82C1E">
        <w:lastRenderedPageBreak/>
        <w:t>Intended use</w:t>
      </w:r>
    </w:p>
    <w:p w14:paraId="3FBD4E94" w14:textId="605AB12A" w:rsidR="00AC43DA" w:rsidRPr="001227B6" w:rsidRDefault="006C564C">
      <w:pPr>
        <w:pStyle w:val="a3"/>
        <w:spacing w:before="2"/>
        <w:ind w:right="340"/>
        <w:rPr>
          <w:lang w:val="en-US"/>
        </w:rPr>
      </w:pPr>
      <w:r w:rsidRPr="006C564C">
        <w:rPr>
          <w:b/>
          <w:lang w:val="en-US"/>
        </w:rPr>
        <w:t>Intended use</w:t>
      </w:r>
      <w:r w:rsidR="00303B2C" w:rsidRPr="001227B6">
        <w:rPr>
          <w:b/>
          <w:lang w:val="en-US"/>
        </w:rPr>
        <w:t>:</w:t>
      </w:r>
      <w:r w:rsidR="00303B2C" w:rsidRPr="001227B6">
        <w:rPr>
          <w:color w:val="000009"/>
          <w:lang w:val="en-US"/>
        </w:rPr>
        <w:t xml:space="preserve">The “HEPA-BCD-test” reagent kit is </w:t>
      </w:r>
      <w:r>
        <w:rPr>
          <w:color w:val="000009"/>
          <w:lang w:val="en-US"/>
        </w:rPr>
        <w:t>intended</w:t>
      </w:r>
      <w:r>
        <w:rPr>
          <w:lang w:val="en-US"/>
        </w:rPr>
        <w:t xml:space="preserve"> </w:t>
      </w:r>
      <w:r w:rsidR="00303B2C" w:rsidRPr="001227B6">
        <w:rPr>
          <w:lang w:val="en-US"/>
        </w:rPr>
        <w:t>or qualitative detection and differentiation of hepatitis B, C and D viruses using the</w:t>
      </w:r>
      <w:r>
        <w:rPr>
          <w:lang w:val="en-US"/>
        </w:rPr>
        <w:t xml:space="preserve"> </w:t>
      </w:r>
      <w:r w:rsidR="00303B2C" w:rsidRPr="001227B6">
        <w:rPr>
          <w:color w:val="000009"/>
          <w:lang w:val="en-US"/>
        </w:rPr>
        <w:t>one-step reverse transcription –</w:t>
      </w:r>
      <w:r w:rsidR="00303B2C" w:rsidRPr="001227B6">
        <w:rPr>
          <w:lang w:val="en-US"/>
        </w:rPr>
        <w:t>multiplex allele-specific polymerase chain reaction with real-time hybridization-fluorescence detection (RT-PCR) in a sample of nucleic acids isolated from human K2-EDTA blood plasma,</w:t>
      </w:r>
      <w:r>
        <w:rPr>
          <w:lang w:val="en-US"/>
        </w:rPr>
        <w:t xml:space="preserve"> </w:t>
      </w:r>
      <w:r w:rsidR="00303B2C" w:rsidRPr="001227B6">
        <w:rPr>
          <w:color w:val="000009"/>
          <w:lang w:val="en-US"/>
        </w:rPr>
        <w:t>in patients with suspected infection with viral hepatitis B, C and D.</w:t>
      </w:r>
    </w:p>
    <w:p w14:paraId="5C7C48D9" w14:textId="124B8714" w:rsidR="00AC43DA" w:rsidRPr="001227B6" w:rsidRDefault="00303B2C">
      <w:pPr>
        <w:pStyle w:val="a3"/>
        <w:spacing w:before="1"/>
        <w:ind w:right="351"/>
        <w:rPr>
          <w:lang w:val="en-US"/>
        </w:rPr>
      </w:pPr>
      <w:r w:rsidRPr="001227B6">
        <w:rPr>
          <w:b/>
          <w:lang w:val="en-US"/>
        </w:rPr>
        <w:t>Functional purpose:</w:t>
      </w:r>
      <w:r w:rsidR="006C564C">
        <w:rPr>
          <w:b/>
          <w:lang w:val="en-US"/>
        </w:rPr>
        <w:t xml:space="preserve"> </w:t>
      </w:r>
      <w:r w:rsidRPr="001227B6">
        <w:rPr>
          <w:lang w:val="en-US"/>
        </w:rPr>
        <w:t>the results obtained can be used to diagnose diseases caused by hepatitis B, C and D viruses.</w:t>
      </w:r>
    </w:p>
    <w:p w14:paraId="270398CE" w14:textId="77777777" w:rsidR="00AC43DA" w:rsidRPr="001227B6" w:rsidRDefault="00303B2C">
      <w:pPr>
        <w:pStyle w:val="1"/>
        <w:rPr>
          <w:lang w:val="en-US"/>
        </w:rPr>
      </w:pPr>
      <w:r w:rsidRPr="001227B6">
        <w:rPr>
          <w:lang w:val="en-US"/>
        </w:rPr>
        <w:t>Potential consumers of a medical product</w:t>
      </w:r>
    </w:p>
    <w:p w14:paraId="5009E6DC" w14:textId="77777777" w:rsidR="00AC43DA" w:rsidRPr="001227B6" w:rsidRDefault="00303B2C">
      <w:pPr>
        <w:pStyle w:val="a3"/>
        <w:spacing w:before="3"/>
        <w:ind w:right="342"/>
        <w:rPr>
          <w:lang w:val="en-US"/>
        </w:rPr>
      </w:pPr>
      <w:r w:rsidRPr="001227B6">
        <w:rPr>
          <w:lang w:val="en-US"/>
        </w:rPr>
        <w:t>The set is intended for professional use in medical institutions and clinical diagnostic laboratories. Professional level of potential users – clinical laboratory diagnostics doctor, medical laboratory technician, laboratory technologist.</w:t>
      </w:r>
    </w:p>
    <w:p w14:paraId="26EA5F77" w14:textId="77777777" w:rsidR="00AC43DA" w:rsidRPr="001227B6" w:rsidRDefault="00AC43DA">
      <w:pPr>
        <w:pStyle w:val="a3"/>
        <w:spacing w:before="2"/>
        <w:ind w:left="0" w:firstLine="0"/>
        <w:jc w:val="left"/>
        <w:rPr>
          <w:sz w:val="16"/>
          <w:lang w:val="en-US"/>
        </w:rPr>
      </w:pPr>
    </w:p>
    <w:p w14:paraId="085D0E08" w14:textId="77777777" w:rsidR="00AC43DA" w:rsidRDefault="00303B2C">
      <w:pPr>
        <w:pStyle w:val="1"/>
        <w:numPr>
          <w:ilvl w:val="1"/>
          <w:numId w:val="24"/>
        </w:numPr>
        <w:tabs>
          <w:tab w:val="left" w:pos="3082"/>
        </w:tabs>
        <w:spacing w:before="90"/>
        <w:ind w:left="3081" w:hanging="241"/>
        <w:jc w:val="left"/>
      </w:pPr>
      <w:bookmarkStart w:id="3" w:name="_bookmark2"/>
      <w:bookmarkEnd w:id="3"/>
      <w:r>
        <w:t>Principle of the method</w:t>
      </w:r>
    </w:p>
    <w:p w14:paraId="74F00C6A" w14:textId="77777777" w:rsidR="00AC43DA" w:rsidRDefault="00303B2C">
      <w:pPr>
        <w:spacing w:before="3"/>
        <w:ind w:left="894"/>
        <w:rPr>
          <w:b/>
          <w:sz w:val="24"/>
        </w:rPr>
      </w:pPr>
      <w:r>
        <w:rPr>
          <w:b/>
          <w:sz w:val="24"/>
        </w:rPr>
        <w:t>Method</w:t>
      </w:r>
    </w:p>
    <w:p w14:paraId="38193199" w14:textId="77777777" w:rsidR="00AC43DA" w:rsidRPr="001227B6" w:rsidRDefault="00303B2C">
      <w:pPr>
        <w:pStyle w:val="a3"/>
        <w:ind w:right="342"/>
        <w:rPr>
          <w:lang w:val="en-US"/>
        </w:rPr>
      </w:pPr>
      <w:r w:rsidRPr="001227B6">
        <w:rPr>
          <w:lang w:val="en-US"/>
        </w:rPr>
        <w:t>One-step reverse transcription – multiplex allele-specific polymerase chain reaction with real-time hybridization-fluorescence detection (RT-PCR).</w:t>
      </w:r>
    </w:p>
    <w:p w14:paraId="3990946C" w14:textId="77777777" w:rsidR="00AC43DA" w:rsidRPr="001227B6" w:rsidRDefault="00303B2C">
      <w:pPr>
        <w:pStyle w:val="1"/>
        <w:spacing w:line="272" w:lineRule="exact"/>
        <w:rPr>
          <w:lang w:val="en-US"/>
        </w:rPr>
      </w:pPr>
      <w:r w:rsidRPr="001227B6">
        <w:rPr>
          <w:lang w:val="en-US"/>
        </w:rPr>
        <w:t>Type of sample analyzed</w:t>
      </w:r>
    </w:p>
    <w:p w14:paraId="7A9AC4E7" w14:textId="77777777" w:rsidR="00AC43DA" w:rsidRPr="001227B6" w:rsidRDefault="00303B2C">
      <w:pPr>
        <w:pStyle w:val="a3"/>
        <w:spacing w:before="2"/>
        <w:ind w:right="345"/>
        <w:rPr>
          <w:lang w:val="en-US"/>
        </w:rPr>
      </w:pPr>
      <w:r w:rsidRPr="001227B6">
        <w:rPr>
          <w:lang w:val="en-US"/>
        </w:rPr>
        <w:t>The material for RT-PCR is nucleic acid samples isolated from human K2-EDTA blood plasma.</w:t>
      </w:r>
    </w:p>
    <w:p w14:paraId="1E80D1AC" w14:textId="77777777" w:rsidR="00AC43DA" w:rsidRPr="001227B6" w:rsidRDefault="00303B2C">
      <w:pPr>
        <w:pStyle w:val="1"/>
        <w:spacing w:line="274" w:lineRule="exact"/>
        <w:rPr>
          <w:lang w:val="en-US"/>
        </w:rPr>
      </w:pPr>
      <w:r w:rsidRPr="001227B6">
        <w:rPr>
          <w:lang w:val="en-US"/>
        </w:rPr>
        <w:t>Determination principle</w:t>
      </w:r>
    </w:p>
    <w:p w14:paraId="4EF881C9" w14:textId="01532503" w:rsidR="00AC43DA" w:rsidRPr="001227B6" w:rsidRDefault="00303B2C">
      <w:pPr>
        <w:pStyle w:val="a3"/>
        <w:spacing w:before="3"/>
        <w:ind w:right="340"/>
        <w:rPr>
          <w:lang w:val="en-US"/>
        </w:rPr>
      </w:pPr>
      <w:r w:rsidRPr="001227B6">
        <w:rPr>
          <w:lang w:val="en-US"/>
        </w:rPr>
        <w:t>Qualitative detection of specific sections of the genomic DNA of the hepatitis B virus and RNA of the hepatitis C and D viruses by the method of one-step reverse transcription - multiplex allele-specific polymerase chain reaction with hybridization-fluorescent detection in real time (</w:t>
      </w:r>
      <w:r w:rsidR="005D71E3">
        <w:rPr>
          <w:lang w:val="en-US"/>
        </w:rPr>
        <w:t>RT-PCR</w:t>
      </w:r>
      <w:r w:rsidRPr="001227B6">
        <w:rPr>
          <w:lang w:val="en-US"/>
        </w:rPr>
        <w:t xml:space="preserve">) in a nucleic acid sample (hereinafter – </w:t>
      </w:r>
      <w:r w:rsidR="005D71E3">
        <w:rPr>
          <w:lang w:val="en-US"/>
        </w:rPr>
        <w:t>NA</w:t>
      </w:r>
      <w:r w:rsidRPr="001227B6">
        <w:rPr>
          <w:lang w:val="en-US"/>
        </w:rPr>
        <w:t>), isolated from clinical material, includes three stages:</w:t>
      </w:r>
    </w:p>
    <w:p w14:paraId="2E97CEBE"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10E316E2" w14:textId="77777777" w:rsidR="00AC43DA" w:rsidRDefault="00303B2C">
      <w:pPr>
        <w:pStyle w:val="a6"/>
        <w:numPr>
          <w:ilvl w:val="0"/>
          <w:numId w:val="23"/>
        </w:numPr>
        <w:tabs>
          <w:tab w:val="left" w:pos="1181"/>
        </w:tabs>
        <w:spacing w:before="60"/>
        <w:ind w:hanging="289"/>
        <w:rPr>
          <w:sz w:val="24"/>
        </w:rPr>
      </w:pPr>
      <w:r>
        <w:rPr>
          <w:sz w:val="24"/>
        </w:rPr>
        <w:lastRenderedPageBreak/>
        <w:t>RT-PCR preparation;</w:t>
      </w:r>
    </w:p>
    <w:p w14:paraId="72F196FE" w14:textId="77777777" w:rsidR="00AC43DA" w:rsidRPr="001227B6" w:rsidRDefault="00303B2C">
      <w:pPr>
        <w:pStyle w:val="a6"/>
        <w:numPr>
          <w:ilvl w:val="0"/>
          <w:numId w:val="23"/>
        </w:numPr>
        <w:tabs>
          <w:tab w:val="left" w:pos="1181"/>
        </w:tabs>
        <w:ind w:left="328" w:right="342" w:firstLine="564"/>
        <w:rPr>
          <w:sz w:val="24"/>
          <w:lang w:val="en-US"/>
        </w:rPr>
      </w:pPr>
      <w:r w:rsidRPr="001227B6">
        <w:rPr>
          <w:sz w:val="24"/>
          <w:lang w:val="en-US"/>
        </w:rPr>
        <w:t>Reverse transcription of RNA and PCR amplification of DNA with hybridization-fluorescence detection in real time;</w:t>
      </w:r>
    </w:p>
    <w:p w14:paraId="393A85A3" w14:textId="77777777" w:rsidR="00AC43DA" w:rsidRDefault="00303B2C">
      <w:pPr>
        <w:pStyle w:val="a6"/>
        <w:numPr>
          <w:ilvl w:val="0"/>
          <w:numId w:val="23"/>
        </w:numPr>
        <w:tabs>
          <w:tab w:val="left" w:pos="1181"/>
        </w:tabs>
        <w:ind w:hanging="289"/>
        <w:rPr>
          <w:sz w:val="24"/>
        </w:rPr>
      </w:pPr>
      <w:r>
        <w:rPr>
          <w:sz w:val="24"/>
        </w:rPr>
        <w:t>Interpretation of results.</w:t>
      </w:r>
    </w:p>
    <w:p w14:paraId="15257F55" w14:textId="6C318FCF" w:rsidR="00AC43DA" w:rsidRPr="001227B6" w:rsidRDefault="00303B2C">
      <w:pPr>
        <w:pStyle w:val="a3"/>
        <w:ind w:right="344"/>
        <w:rPr>
          <w:lang w:val="en-US"/>
        </w:rPr>
      </w:pPr>
      <w:r w:rsidRPr="001227B6">
        <w:rPr>
          <w:lang w:val="en-US"/>
        </w:rPr>
        <w:t xml:space="preserve">With </w:t>
      </w:r>
      <w:r w:rsidR="005D71E3">
        <w:rPr>
          <w:lang w:val="en-US"/>
        </w:rPr>
        <w:t>NA</w:t>
      </w:r>
      <w:r w:rsidRPr="001227B6">
        <w:rPr>
          <w:lang w:val="en-US"/>
        </w:rPr>
        <w:t xml:space="preserve"> samples, a one-step reverse transcription reaction is carried out - a multiplex allele-specific polymerase chain reaction of specific regions of the genome of hepatitis viruses using primers in the reaction buffer. If hepatitis C and D viruses are present in the sample, their RNA is reversed during reverse transcription to form cDNA; If the hepatitis B virus is present in the sample, its DNA goes through the stage of reverse transcription without changes. Upon completion of reverse transcription, a “hot start” is carried out, as a result of which reversease is inactivated and polymerase is activated, and the stage of PCR amplification of DNA and cDNA is launched.</w:t>
      </w:r>
    </w:p>
    <w:p w14:paraId="5A928D6F" w14:textId="77777777" w:rsidR="00AC43DA" w:rsidRPr="001227B6" w:rsidRDefault="00303B2C">
      <w:pPr>
        <w:pStyle w:val="a3"/>
        <w:spacing w:before="1"/>
        <w:ind w:right="342"/>
        <w:rPr>
          <w:lang w:val="en-US"/>
        </w:rPr>
      </w:pPr>
      <w:r w:rsidRPr="001227B6">
        <w:rPr>
          <w:lang w:val="en-US"/>
        </w:rPr>
        <w:t>The PCR buffer contains all the basic reagents, including warm-start reversease, hot-start thermostable DNA polymerase, deoxynucleotide triphosphates and an optimized buffer.</w:t>
      </w:r>
    </w:p>
    <w:p w14:paraId="4348C5F3" w14:textId="77777777" w:rsidR="00AC43DA" w:rsidRPr="001227B6" w:rsidRDefault="00303B2C">
      <w:pPr>
        <w:pStyle w:val="a3"/>
        <w:spacing w:before="1"/>
        <w:ind w:right="342"/>
        <w:rPr>
          <w:lang w:val="en-US"/>
        </w:rPr>
      </w:pPr>
      <w:r w:rsidRPr="001227B6">
        <w:rPr>
          <w:lang w:val="en-US"/>
        </w:rPr>
        <w:t>Mixtures of oligonucleotides contain fluorescently labeled oligonucleotide probes, which hybridize with the complementary region of the target DNA being amplified and are hydrolyzed (destroyed) by Taq polymerase, as a result of which the dye and quencher are separated, and the fluorescence intensity increases in the corresponding range of the optical spectrum. This allows the accumulation of a specific amplification product to be detected by measuring the intensity of the fluorescent signal in real time.</w:t>
      </w:r>
    </w:p>
    <w:p w14:paraId="59DEC0F6" w14:textId="77777777" w:rsidR="00AC43DA" w:rsidRPr="001227B6" w:rsidRDefault="00303B2C">
      <w:pPr>
        <w:pStyle w:val="a3"/>
        <w:spacing w:before="3"/>
        <w:ind w:right="345"/>
        <w:rPr>
          <w:lang w:val="en-US"/>
        </w:rPr>
      </w:pPr>
      <w:r w:rsidRPr="001227B6">
        <w:rPr>
          <w:lang w:val="en-US"/>
        </w:rPr>
        <w:t>The kit contains reagents for multiplex determination of highly specific regions (targets) of the genomic DNA of the hepatitis B virus and RNA of the hepatitis C and D viruses, as well as an internal control sample (ICS) (Table 1).</w:t>
      </w:r>
    </w:p>
    <w:p w14:paraId="519D745C"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2085C2D8" w14:textId="77777777" w:rsidR="00AC43DA" w:rsidRDefault="00303B2C">
      <w:pPr>
        <w:pStyle w:val="a3"/>
        <w:spacing w:before="77" w:after="9"/>
        <w:ind w:left="894" w:firstLine="0"/>
      </w:pPr>
      <w:r>
        <w:lastRenderedPageBreak/>
        <w:t>Table 1 - Analyzed targets</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636"/>
        <w:gridCol w:w="1771"/>
        <w:gridCol w:w="1773"/>
      </w:tblGrid>
      <w:tr w:rsidR="00AC43DA" w14:paraId="1A18FBF3" w14:textId="77777777" w:rsidTr="002A5296">
        <w:trPr>
          <w:trHeight w:val="631"/>
        </w:trPr>
        <w:tc>
          <w:tcPr>
            <w:tcW w:w="6881" w:type="dxa"/>
            <w:gridSpan w:val="4"/>
          </w:tcPr>
          <w:p w14:paraId="46908EA4" w14:textId="77777777" w:rsidR="00AC43DA" w:rsidRDefault="00AC43DA">
            <w:pPr>
              <w:pStyle w:val="TableParagraph"/>
              <w:spacing w:before="4"/>
              <w:ind w:left="0"/>
              <w:rPr>
                <w:sz w:val="17"/>
              </w:rPr>
            </w:pPr>
          </w:p>
          <w:p w14:paraId="32BD0FEE" w14:textId="77777777" w:rsidR="00AC43DA" w:rsidRDefault="00303B2C">
            <w:pPr>
              <w:pStyle w:val="TableParagraph"/>
              <w:ind w:left="1815"/>
              <w:rPr>
                <w:b/>
                <w:sz w:val="20"/>
              </w:rPr>
            </w:pPr>
            <w:r>
              <w:rPr>
                <w:b/>
                <w:sz w:val="20"/>
              </w:rPr>
              <w:t>Channel corresponding to fluorophore</w:t>
            </w:r>
          </w:p>
        </w:tc>
      </w:tr>
      <w:tr w:rsidR="00AC43DA" w14:paraId="0835673C" w14:textId="77777777" w:rsidTr="002A5296">
        <w:trPr>
          <w:trHeight w:val="628"/>
        </w:trPr>
        <w:tc>
          <w:tcPr>
            <w:tcW w:w="1701" w:type="dxa"/>
          </w:tcPr>
          <w:p w14:paraId="4B864EA0" w14:textId="77777777" w:rsidR="00AC43DA" w:rsidRDefault="00303B2C">
            <w:pPr>
              <w:pStyle w:val="TableParagraph"/>
              <w:spacing w:before="197"/>
              <w:ind w:left="317"/>
              <w:rPr>
                <w:b/>
                <w:sz w:val="20"/>
              </w:rPr>
            </w:pPr>
            <w:bookmarkStart w:id="4" w:name="_Hlk159421048"/>
            <w:r>
              <w:rPr>
                <w:b/>
                <w:sz w:val="20"/>
              </w:rPr>
              <w:t>FAM/Green</w:t>
            </w:r>
          </w:p>
        </w:tc>
        <w:tc>
          <w:tcPr>
            <w:tcW w:w="1636" w:type="dxa"/>
          </w:tcPr>
          <w:p w14:paraId="7A83368C" w14:textId="77777777" w:rsidR="00AC43DA" w:rsidRDefault="00303B2C">
            <w:pPr>
              <w:pStyle w:val="TableParagraph"/>
              <w:spacing w:before="197"/>
              <w:ind w:left="280" w:right="268"/>
              <w:jc w:val="center"/>
              <w:rPr>
                <w:b/>
                <w:sz w:val="20"/>
              </w:rPr>
            </w:pPr>
            <w:r>
              <w:rPr>
                <w:b/>
                <w:sz w:val="20"/>
              </w:rPr>
              <w:t>HEX/Yellow</w:t>
            </w:r>
          </w:p>
        </w:tc>
        <w:tc>
          <w:tcPr>
            <w:tcW w:w="1771" w:type="dxa"/>
          </w:tcPr>
          <w:p w14:paraId="16D0A4AE" w14:textId="77777777" w:rsidR="00AC43DA" w:rsidRDefault="00303B2C">
            <w:pPr>
              <w:pStyle w:val="TableParagraph"/>
              <w:spacing w:before="197"/>
              <w:ind w:left="267"/>
              <w:rPr>
                <w:b/>
                <w:sz w:val="20"/>
              </w:rPr>
            </w:pPr>
            <w:r>
              <w:rPr>
                <w:b/>
                <w:sz w:val="20"/>
              </w:rPr>
              <w:t>ROX/Orange</w:t>
            </w:r>
          </w:p>
        </w:tc>
        <w:tc>
          <w:tcPr>
            <w:tcW w:w="1773" w:type="dxa"/>
          </w:tcPr>
          <w:p w14:paraId="5D4A5896" w14:textId="77777777" w:rsidR="00AC43DA" w:rsidRDefault="00303B2C">
            <w:pPr>
              <w:pStyle w:val="TableParagraph"/>
              <w:spacing w:before="197"/>
              <w:ind w:left="469"/>
              <w:rPr>
                <w:b/>
                <w:sz w:val="20"/>
              </w:rPr>
            </w:pPr>
            <w:r>
              <w:rPr>
                <w:b/>
                <w:sz w:val="20"/>
              </w:rPr>
              <w:t>Cy5/Red</w:t>
            </w:r>
          </w:p>
        </w:tc>
      </w:tr>
      <w:tr w:rsidR="00AC43DA" w14:paraId="18EFDF1C" w14:textId="77777777" w:rsidTr="002A5296">
        <w:trPr>
          <w:trHeight w:val="628"/>
        </w:trPr>
        <w:tc>
          <w:tcPr>
            <w:tcW w:w="1701" w:type="dxa"/>
          </w:tcPr>
          <w:p w14:paraId="03C61C20" w14:textId="398AA9E0" w:rsidR="00AC43DA" w:rsidRDefault="002A5296" w:rsidP="002A5296">
            <w:pPr>
              <w:pStyle w:val="TableParagraph"/>
              <w:spacing w:before="77"/>
              <w:ind w:left="68" w:right="149"/>
              <w:jc w:val="center"/>
              <w:rPr>
                <w:sz w:val="20"/>
              </w:rPr>
            </w:pPr>
            <w:r>
              <w:rPr>
                <w:sz w:val="20"/>
              </w:rPr>
              <w:t>HBV</w:t>
            </w:r>
            <w:r w:rsidR="00303B2C">
              <w:rPr>
                <w:spacing w:val="-1"/>
                <w:sz w:val="20"/>
              </w:rPr>
              <w:t xml:space="preserve"> DNA</w:t>
            </w:r>
          </w:p>
        </w:tc>
        <w:tc>
          <w:tcPr>
            <w:tcW w:w="1636" w:type="dxa"/>
          </w:tcPr>
          <w:p w14:paraId="6231BB5C" w14:textId="52104C7F" w:rsidR="00AC43DA" w:rsidRDefault="005D71E3">
            <w:pPr>
              <w:pStyle w:val="TableParagraph"/>
              <w:spacing w:before="192"/>
              <w:ind w:left="280" w:right="267"/>
              <w:jc w:val="center"/>
              <w:rPr>
                <w:sz w:val="20"/>
              </w:rPr>
            </w:pPr>
            <w:r w:rsidRPr="005D71E3">
              <w:rPr>
                <w:sz w:val="20"/>
              </w:rPr>
              <w:t>ICS</w:t>
            </w:r>
          </w:p>
        </w:tc>
        <w:tc>
          <w:tcPr>
            <w:tcW w:w="1771" w:type="dxa"/>
          </w:tcPr>
          <w:p w14:paraId="28ED9A0E" w14:textId="30DFC583" w:rsidR="00AC43DA" w:rsidRDefault="002A5296" w:rsidP="002A5296">
            <w:pPr>
              <w:pStyle w:val="TableParagraph"/>
              <w:spacing w:before="77"/>
              <w:ind w:left="60" w:right="3"/>
              <w:jc w:val="center"/>
              <w:rPr>
                <w:sz w:val="20"/>
              </w:rPr>
            </w:pPr>
            <w:r>
              <w:rPr>
                <w:sz w:val="20"/>
              </w:rPr>
              <w:t>HСV</w:t>
            </w:r>
            <w:r>
              <w:rPr>
                <w:spacing w:val="-2"/>
                <w:sz w:val="20"/>
              </w:rPr>
              <w:t xml:space="preserve"> </w:t>
            </w:r>
            <w:r w:rsidR="00303B2C">
              <w:rPr>
                <w:spacing w:val="-2"/>
                <w:sz w:val="20"/>
              </w:rPr>
              <w:t>RNA</w:t>
            </w:r>
          </w:p>
        </w:tc>
        <w:tc>
          <w:tcPr>
            <w:tcW w:w="1773" w:type="dxa"/>
          </w:tcPr>
          <w:p w14:paraId="3E3BD890" w14:textId="09F5FC5C" w:rsidR="00AC43DA" w:rsidRDefault="002A5296" w:rsidP="002A5296">
            <w:pPr>
              <w:pStyle w:val="TableParagraph"/>
              <w:spacing w:before="77"/>
              <w:ind w:left="138"/>
              <w:jc w:val="center"/>
              <w:rPr>
                <w:sz w:val="20"/>
              </w:rPr>
            </w:pPr>
            <w:r>
              <w:rPr>
                <w:sz w:val="20"/>
              </w:rPr>
              <w:t>HDV</w:t>
            </w:r>
            <w:r>
              <w:rPr>
                <w:spacing w:val="-2"/>
                <w:sz w:val="20"/>
              </w:rPr>
              <w:t xml:space="preserve"> </w:t>
            </w:r>
            <w:r w:rsidR="00303B2C">
              <w:rPr>
                <w:spacing w:val="-2"/>
                <w:sz w:val="20"/>
              </w:rPr>
              <w:t>RNA</w:t>
            </w:r>
          </w:p>
        </w:tc>
      </w:tr>
      <w:bookmarkEnd w:id="4"/>
    </w:tbl>
    <w:p w14:paraId="454F03FF" w14:textId="77777777" w:rsidR="00AC43DA" w:rsidRDefault="00AC43DA">
      <w:pPr>
        <w:pStyle w:val="a3"/>
        <w:spacing w:before="3"/>
        <w:ind w:left="0" w:firstLine="0"/>
        <w:jc w:val="left"/>
        <w:rPr>
          <w:sz w:val="23"/>
        </w:rPr>
      </w:pPr>
    </w:p>
    <w:p w14:paraId="03592AC7" w14:textId="5BEF532C" w:rsidR="00AC43DA" w:rsidRPr="001227B6" w:rsidRDefault="005D71E3">
      <w:pPr>
        <w:pStyle w:val="a3"/>
        <w:ind w:right="348"/>
        <w:rPr>
          <w:lang w:val="en-US"/>
        </w:rPr>
      </w:pPr>
      <w:r>
        <w:rPr>
          <w:lang w:val="en-US"/>
        </w:rPr>
        <w:t>ICS</w:t>
      </w:r>
      <w:r w:rsidR="00303B2C" w:rsidRPr="001227B6">
        <w:rPr>
          <w:lang w:val="en-US"/>
        </w:rPr>
        <w:t xml:space="preserve"> allows you to assess the quality and efficiency of NA isolation and the possible presence of reverse transcription and amplification inhibitors in the sample, the presence of which can lead to false negative results.</w:t>
      </w:r>
    </w:p>
    <w:p w14:paraId="0ECABF4E" w14:textId="77777777" w:rsidR="00AC43DA" w:rsidRPr="001227B6" w:rsidRDefault="00303B2C">
      <w:pPr>
        <w:pStyle w:val="1"/>
        <w:spacing w:before="1"/>
        <w:rPr>
          <w:lang w:val="en-US"/>
        </w:rPr>
      </w:pPr>
      <w:r w:rsidRPr="001227B6">
        <w:rPr>
          <w:lang w:val="en-US"/>
        </w:rPr>
        <w:t>Limitations of the method</w:t>
      </w:r>
    </w:p>
    <w:p w14:paraId="1319D0DB" w14:textId="3BD32A7F" w:rsidR="00AC43DA" w:rsidRPr="001227B6" w:rsidRDefault="00303B2C">
      <w:pPr>
        <w:pStyle w:val="a3"/>
        <w:spacing w:before="2"/>
        <w:ind w:right="341"/>
        <w:rPr>
          <w:lang w:val="en-US"/>
        </w:rPr>
      </w:pPr>
      <w:r w:rsidRPr="001227B6">
        <w:rPr>
          <w:lang w:val="en-US"/>
        </w:rPr>
        <w:t xml:space="preserve">A possible reason for obtaining a false positive result is contamination at the stage of </w:t>
      </w:r>
      <w:r w:rsidR="005D71E3">
        <w:rPr>
          <w:lang w:val="en-US"/>
        </w:rPr>
        <w:t>NA</w:t>
      </w:r>
      <w:r w:rsidRPr="001227B6">
        <w:rPr>
          <w:lang w:val="en-US"/>
        </w:rPr>
        <w:t xml:space="preserve"> isolation or multiplex RT-PCR/PCR reaction. A false positive result can be detected by using a negative control sample.</w:t>
      </w:r>
    </w:p>
    <w:p w14:paraId="606E19E7" w14:textId="77777777" w:rsidR="00AC43DA" w:rsidRPr="001227B6" w:rsidRDefault="00303B2C">
      <w:pPr>
        <w:pStyle w:val="a3"/>
        <w:spacing w:before="1"/>
        <w:ind w:left="894" w:firstLine="0"/>
        <w:rPr>
          <w:lang w:val="en-US"/>
        </w:rPr>
      </w:pPr>
      <w:r w:rsidRPr="001227B6">
        <w:rPr>
          <w:lang w:val="en-US"/>
        </w:rPr>
        <w:t>Violation of the integrity of the packaging during transportation.</w:t>
      </w:r>
    </w:p>
    <w:p w14:paraId="7AE4A388" w14:textId="77777777" w:rsidR="00AC43DA" w:rsidRPr="001227B6" w:rsidRDefault="00303B2C">
      <w:pPr>
        <w:pStyle w:val="a3"/>
        <w:ind w:right="345"/>
        <w:rPr>
          <w:lang w:val="en-US"/>
        </w:rPr>
      </w:pPr>
      <w:r w:rsidRPr="001227B6">
        <w:rPr>
          <w:lang w:val="en-US"/>
        </w:rPr>
        <w:t>Using an expired kit or violating the storage conditions of the kit.</w:t>
      </w:r>
    </w:p>
    <w:p w14:paraId="306298D6" w14:textId="77777777" w:rsidR="00AC43DA" w:rsidRPr="001227B6" w:rsidRDefault="00303B2C">
      <w:pPr>
        <w:pStyle w:val="a3"/>
        <w:ind w:right="350"/>
        <w:rPr>
          <w:lang w:val="en-US"/>
        </w:rPr>
      </w:pPr>
      <w:r w:rsidRPr="001227B6">
        <w:rPr>
          <w:lang w:val="en-US"/>
        </w:rPr>
        <w:t>Violation of storage conditions during transportation of samples.</w:t>
      </w:r>
    </w:p>
    <w:p w14:paraId="518E0A1B" w14:textId="77777777" w:rsidR="00AC43DA" w:rsidRPr="001227B6" w:rsidRDefault="00303B2C">
      <w:pPr>
        <w:pStyle w:val="a3"/>
        <w:ind w:right="343"/>
        <w:rPr>
          <w:lang w:val="en-US"/>
        </w:rPr>
      </w:pPr>
      <w:r w:rsidRPr="001227B6">
        <w:rPr>
          <w:lang w:val="en-US"/>
        </w:rPr>
        <w:t>The conclusion about the clinical diagnosis cannot be based only on the results of the study using this MI. For diagnostic purposes, the results should be used in combination with other data: symptoms, general clinical picture, results of other test systems (for example, serological tests designed to detect antibodies or antigens using enzyme-linked immunosorbent assay or chemiluminescence immunoassay), therapy used.</w:t>
      </w:r>
    </w:p>
    <w:p w14:paraId="512688C5" w14:textId="77777777" w:rsidR="00AC43DA" w:rsidRPr="001227B6" w:rsidRDefault="00303B2C">
      <w:pPr>
        <w:pStyle w:val="a3"/>
        <w:spacing w:before="73"/>
        <w:ind w:right="343"/>
        <w:rPr>
          <w:lang w:val="en-US"/>
        </w:rPr>
      </w:pPr>
      <w:r w:rsidRPr="001227B6">
        <w:rPr>
          <w:lang w:val="en-US"/>
        </w:rPr>
        <w:t>If the viral load is very low (less than 250 copies/ml), which may be due to the antiviral therapy used or the course of the disease, false negative results may be obtained. In these cases, it is recommended to use more clinical</w:t>
      </w:r>
    </w:p>
    <w:p w14:paraId="4E59DB09" w14:textId="77777777" w:rsidR="00AC43DA" w:rsidRPr="001227B6" w:rsidRDefault="00AC43DA">
      <w:pPr>
        <w:rPr>
          <w:lang w:val="en-US"/>
        </w:rPr>
        <w:sectPr w:rsidR="00AC43DA" w:rsidRPr="001227B6">
          <w:pgSz w:w="8400" w:h="11920"/>
          <w:pgMar w:top="460" w:right="240" w:bottom="640" w:left="380" w:header="0" w:footer="378" w:gutter="0"/>
          <w:cols w:space="720"/>
        </w:sectPr>
      </w:pPr>
    </w:p>
    <w:p w14:paraId="6834D091" w14:textId="6379FC54" w:rsidR="00AC43DA" w:rsidRPr="001227B6" w:rsidRDefault="00303B2C">
      <w:pPr>
        <w:pStyle w:val="a3"/>
        <w:spacing w:before="68"/>
        <w:ind w:right="342" w:firstLine="0"/>
        <w:rPr>
          <w:lang w:val="en-US"/>
        </w:rPr>
      </w:pPr>
      <w:r w:rsidRPr="001227B6">
        <w:rPr>
          <w:lang w:val="en-US"/>
        </w:rPr>
        <w:lastRenderedPageBreak/>
        <w:t xml:space="preserve">material for </w:t>
      </w:r>
      <w:r w:rsidR="005D71E3">
        <w:rPr>
          <w:lang w:val="en-US"/>
        </w:rPr>
        <w:t>NA</w:t>
      </w:r>
      <w:r w:rsidRPr="001227B6">
        <w:rPr>
          <w:lang w:val="en-US"/>
        </w:rPr>
        <w:t xml:space="preserve"> isolation to lower the sensitivity threshold of the test system.</w:t>
      </w:r>
    </w:p>
    <w:p w14:paraId="4D3244E2" w14:textId="77777777" w:rsidR="00AC43DA" w:rsidRPr="001227B6" w:rsidRDefault="00303B2C">
      <w:pPr>
        <w:pStyle w:val="1"/>
        <w:spacing w:before="5"/>
        <w:ind w:left="328" w:right="349" w:firstLine="564"/>
        <w:rPr>
          <w:lang w:val="en-US"/>
        </w:rPr>
      </w:pPr>
      <w:r w:rsidRPr="001227B6">
        <w:rPr>
          <w:lang w:val="en-US"/>
        </w:rPr>
        <w:t>The RT-PCR time ranges from 120 to 145 minutes (excluding sample preparation), depending on the cycler used.</w:t>
      </w:r>
    </w:p>
    <w:p w14:paraId="1C8975C2" w14:textId="77777777" w:rsidR="00AC43DA" w:rsidRPr="001227B6" w:rsidRDefault="00AC43DA">
      <w:pPr>
        <w:pStyle w:val="a3"/>
        <w:spacing w:before="6"/>
        <w:ind w:left="0" w:firstLine="0"/>
        <w:jc w:val="left"/>
        <w:rPr>
          <w:b/>
          <w:sz w:val="23"/>
          <w:lang w:val="en-US"/>
        </w:rPr>
      </w:pPr>
    </w:p>
    <w:p w14:paraId="60775D47" w14:textId="77777777" w:rsidR="00AC43DA" w:rsidRDefault="00303B2C">
      <w:pPr>
        <w:pStyle w:val="1"/>
        <w:numPr>
          <w:ilvl w:val="1"/>
          <w:numId w:val="23"/>
        </w:numPr>
        <w:tabs>
          <w:tab w:val="left" w:pos="2631"/>
        </w:tabs>
        <w:spacing w:before="1"/>
        <w:ind w:hanging="241"/>
        <w:jc w:val="both"/>
      </w:pPr>
      <w:bookmarkStart w:id="5" w:name="_bookmark3"/>
      <w:bookmarkEnd w:id="5"/>
      <w:r>
        <w:t>Composition of the reagent kit</w:t>
      </w:r>
    </w:p>
    <w:p w14:paraId="5E4269C6" w14:textId="77777777" w:rsidR="00AC43DA" w:rsidRPr="001227B6" w:rsidRDefault="00303B2C">
      <w:pPr>
        <w:pStyle w:val="a3"/>
        <w:spacing w:before="2"/>
        <w:ind w:right="349"/>
        <w:rPr>
          <w:lang w:val="en-US"/>
        </w:rPr>
      </w:pPr>
      <w:r w:rsidRPr="001227B6">
        <w:rPr>
          <w:lang w:val="en-US"/>
        </w:rPr>
        <w:t>Set of reagents "</w:t>
      </w:r>
      <w:r w:rsidRPr="001227B6">
        <w:rPr>
          <w:color w:val="000009"/>
          <w:lang w:val="en-US"/>
        </w:rPr>
        <w:t>HEPA-BCD test</w:t>
      </w:r>
      <w:r w:rsidRPr="001227B6">
        <w:rPr>
          <w:lang w:val="en-US"/>
        </w:rPr>
        <w:t>» is produced in one configuration form – «</w:t>
      </w:r>
      <w:r w:rsidRPr="001227B6">
        <w:rPr>
          <w:color w:val="000009"/>
          <w:lang w:val="en-US"/>
        </w:rPr>
        <w:t>HEPA-BCD test</w:t>
      </w:r>
      <w:r w:rsidRPr="001227B6">
        <w:rPr>
          <w:lang w:val="en-US"/>
        </w:rPr>
        <w:t>"</w:t>
      </w:r>
    </w:p>
    <w:p w14:paraId="34E0A9DF" w14:textId="77777777" w:rsidR="00AC43DA" w:rsidRPr="001227B6" w:rsidRDefault="00303B2C">
      <w:pPr>
        <w:pStyle w:val="1"/>
        <w:spacing w:line="274" w:lineRule="exact"/>
        <w:rPr>
          <w:lang w:val="en-US"/>
        </w:rPr>
      </w:pPr>
      <w:r w:rsidRPr="001227B6">
        <w:rPr>
          <w:lang w:val="en-US"/>
        </w:rPr>
        <w:t>Number of analyzed samples</w:t>
      </w:r>
    </w:p>
    <w:p w14:paraId="29E19ACB" w14:textId="77777777" w:rsidR="00AC43DA" w:rsidRPr="001227B6" w:rsidRDefault="00303B2C">
      <w:pPr>
        <w:pStyle w:val="a3"/>
        <w:spacing w:before="3"/>
        <w:ind w:right="345"/>
        <w:rPr>
          <w:lang w:val="en-US"/>
        </w:rPr>
      </w:pPr>
      <w:r w:rsidRPr="001227B6">
        <w:rPr>
          <w:lang w:val="en-US"/>
        </w:rPr>
        <w:t>The set of reagents is designed for 96 reactions, which corresponds to the determination of 94 test samples, negative and positive samples with a single run of a 96-well amplifier or 32 single setups of test samples with negative and positive control samples in each setup.</w:t>
      </w:r>
    </w:p>
    <w:p w14:paraId="4EFC1BDC" w14:textId="77777777" w:rsidR="00AC43DA" w:rsidRPr="001227B6" w:rsidRDefault="00AC43DA">
      <w:pPr>
        <w:pStyle w:val="a3"/>
        <w:spacing w:before="9"/>
        <w:ind w:left="0" w:firstLine="0"/>
        <w:jc w:val="left"/>
        <w:rPr>
          <w:sz w:val="23"/>
          <w:lang w:val="en-US"/>
        </w:rPr>
      </w:pPr>
    </w:p>
    <w:p w14:paraId="38C5B704" w14:textId="77777777" w:rsidR="00AC43DA" w:rsidRPr="001227B6" w:rsidRDefault="00303B2C">
      <w:pPr>
        <w:pStyle w:val="a3"/>
        <w:spacing w:after="11"/>
        <w:ind w:left="894" w:firstLine="0"/>
        <w:rPr>
          <w:lang w:val="en-US"/>
        </w:rPr>
      </w:pPr>
      <w:r w:rsidRPr="001227B6">
        <w:rPr>
          <w:lang w:val="en-US"/>
        </w:rPr>
        <w:t>Table 2 – Composition of the “HEPA-BCD-test” reagent kit</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927"/>
        <w:gridCol w:w="2238"/>
        <w:gridCol w:w="1455"/>
      </w:tblGrid>
      <w:tr w:rsidR="00AC43DA" w14:paraId="188771D6" w14:textId="77777777">
        <w:trPr>
          <w:trHeight w:val="667"/>
        </w:trPr>
        <w:tc>
          <w:tcPr>
            <w:tcW w:w="584" w:type="dxa"/>
          </w:tcPr>
          <w:p w14:paraId="140AE41B" w14:textId="6ACC115D" w:rsidR="00AC43DA" w:rsidRDefault="0038617A">
            <w:pPr>
              <w:pStyle w:val="TableParagraph"/>
              <w:spacing w:before="101"/>
              <w:ind w:left="180" w:right="143" w:firstLine="16"/>
              <w:rPr>
                <w:b/>
                <w:sz w:val="20"/>
              </w:rPr>
            </w:pPr>
            <w:r>
              <w:rPr>
                <w:b/>
                <w:sz w:val="20"/>
              </w:rPr>
              <w:t>№</w:t>
            </w:r>
          </w:p>
        </w:tc>
        <w:tc>
          <w:tcPr>
            <w:tcW w:w="2927" w:type="dxa"/>
          </w:tcPr>
          <w:p w14:paraId="00DD9683" w14:textId="77777777" w:rsidR="00AC43DA" w:rsidRDefault="00AC43DA">
            <w:pPr>
              <w:pStyle w:val="TableParagraph"/>
              <w:spacing w:before="9"/>
              <w:ind w:left="0"/>
              <w:rPr>
                <w:sz w:val="18"/>
              </w:rPr>
            </w:pPr>
          </w:p>
          <w:p w14:paraId="4FE3C3A1" w14:textId="77777777" w:rsidR="00AC43DA" w:rsidRDefault="00303B2C">
            <w:pPr>
              <w:pStyle w:val="TableParagraph"/>
              <w:ind w:left="613"/>
              <w:rPr>
                <w:b/>
                <w:sz w:val="20"/>
              </w:rPr>
            </w:pPr>
            <w:r>
              <w:rPr>
                <w:b/>
                <w:sz w:val="20"/>
              </w:rPr>
              <w:t>Reagent name</w:t>
            </w:r>
          </w:p>
        </w:tc>
        <w:tc>
          <w:tcPr>
            <w:tcW w:w="2238" w:type="dxa"/>
          </w:tcPr>
          <w:p w14:paraId="6FD4DF7D" w14:textId="77777777" w:rsidR="00AC43DA" w:rsidRDefault="00AC43DA">
            <w:pPr>
              <w:pStyle w:val="TableParagraph"/>
              <w:spacing w:before="9"/>
              <w:ind w:left="0"/>
              <w:rPr>
                <w:sz w:val="18"/>
              </w:rPr>
            </w:pPr>
          </w:p>
          <w:p w14:paraId="548EA835" w14:textId="77777777" w:rsidR="00AC43DA" w:rsidRDefault="00303B2C">
            <w:pPr>
              <w:pStyle w:val="TableParagraph"/>
              <w:ind w:left="675"/>
              <w:rPr>
                <w:b/>
                <w:sz w:val="20"/>
              </w:rPr>
            </w:pPr>
            <w:r>
              <w:rPr>
                <w:b/>
                <w:sz w:val="20"/>
              </w:rPr>
              <w:t>Description</w:t>
            </w:r>
          </w:p>
        </w:tc>
        <w:tc>
          <w:tcPr>
            <w:tcW w:w="1455" w:type="dxa"/>
          </w:tcPr>
          <w:p w14:paraId="206AD625" w14:textId="77777777" w:rsidR="0038617A" w:rsidRDefault="00303B2C">
            <w:pPr>
              <w:pStyle w:val="TableParagraph"/>
              <w:spacing w:before="101"/>
              <w:ind w:left="459" w:right="150" w:hanging="293"/>
              <w:rPr>
                <w:b/>
                <w:spacing w:val="-1"/>
                <w:sz w:val="20"/>
              </w:rPr>
            </w:pPr>
            <w:r>
              <w:rPr>
                <w:b/>
                <w:spacing w:val="-1"/>
                <w:sz w:val="20"/>
              </w:rPr>
              <w:t>Quantity,</w:t>
            </w:r>
          </w:p>
          <w:p w14:paraId="7FD7E55F" w14:textId="31C2FCD9" w:rsidR="00AC43DA" w:rsidRDefault="00303B2C">
            <w:pPr>
              <w:pStyle w:val="TableParagraph"/>
              <w:spacing w:before="101"/>
              <w:ind w:left="459" w:right="150" w:hanging="293"/>
              <w:rPr>
                <w:b/>
                <w:sz w:val="20"/>
              </w:rPr>
            </w:pPr>
            <w:r>
              <w:rPr>
                <w:b/>
                <w:sz w:val="20"/>
              </w:rPr>
              <w:t>volume</w:t>
            </w:r>
          </w:p>
        </w:tc>
      </w:tr>
      <w:tr w:rsidR="00AC43DA" w14:paraId="70863D6C" w14:textId="77777777">
        <w:trPr>
          <w:trHeight w:val="460"/>
        </w:trPr>
        <w:tc>
          <w:tcPr>
            <w:tcW w:w="584" w:type="dxa"/>
          </w:tcPr>
          <w:p w14:paraId="1F26F031" w14:textId="77777777" w:rsidR="00AC43DA" w:rsidRDefault="00303B2C">
            <w:pPr>
              <w:pStyle w:val="TableParagraph"/>
              <w:spacing w:before="108"/>
              <w:ind w:left="221"/>
              <w:rPr>
                <w:sz w:val="20"/>
              </w:rPr>
            </w:pPr>
            <w:r>
              <w:rPr>
                <w:sz w:val="20"/>
              </w:rPr>
              <w:t>1.</w:t>
            </w:r>
          </w:p>
        </w:tc>
        <w:tc>
          <w:tcPr>
            <w:tcW w:w="2927" w:type="dxa"/>
          </w:tcPr>
          <w:p w14:paraId="33D94C49" w14:textId="52BA38D8" w:rsidR="00AC43DA" w:rsidRDefault="00303B2C">
            <w:pPr>
              <w:pStyle w:val="TableParagraph"/>
              <w:spacing w:before="108"/>
              <w:rPr>
                <w:sz w:val="20"/>
              </w:rPr>
            </w:pPr>
            <w:r>
              <w:rPr>
                <w:sz w:val="20"/>
              </w:rPr>
              <w:t>PCR</w:t>
            </w:r>
            <w:r w:rsidR="0038617A">
              <w:rPr>
                <w:sz w:val="20"/>
              </w:rPr>
              <w:t>-</w:t>
            </w:r>
            <w:r>
              <w:rPr>
                <w:sz w:val="20"/>
              </w:rPr>
              <w:t>buffer</w:t>
            </w:r>
          </w:p>
        </w:tc>
        <w:tc>
          <w:tcPr>
            <w:tcW w:w="2238" w:type="dxa"/>
          </w:tcPr>
          <w:p w14:paraId="3250671C" w14:textId="7F64A771" w:rsidR="00AC43DA" w:rsidRDefault="00303B2C">
            <w:pPr>
              <w:pStyle w:val="TableParagraph"/>
              <w:spacing w:line="228" w:lineRule="auto"/>
              <w:ind w:left="716" w:right="98" w:hanging="591"/>
              <w:rPr>
                <w:sz w:val="20"/>
              </w:rPr>
            </w:pPr>
            <w:r>
              <w:rPr>
                <w:spacing w:val="-1"/>
                <w:sz w:val="20"/>
              </w:rPr>
              <w:t>Transparent</w:t>
            </w:r>
            <w:r w:rsidR="0038617A">
              <w:rPr>
                <w:spacing w:val="-1"/>
                <w:sz w:val="20"/>
              </w:rPr>
              <w:t xml:space="preserve"> </w:t>
            </w:r>
            <w:r>
              <w:rPr>
                <w:sz w:val="20"/>
              </w:rPr>
              <w:t>colorless liquid</w:t>
            </w:r>
          </w:p>
        </w:tc>
        <w:tc>
          <w:tcPr>
            <w:tcW w:w="1455" w:type="dxa"/>
          </w:tcPr>
          <w:p w14:paraId="519067CD" w14:textId="77777777" w:rsidR="00AC43DA" w:rsidRDefault="00303B2C">
            <w:pPr>
              <w:pStyle w:val="TableParagraph"/>
              <w:spacing w:line="215" w:lineRule="exact"/>
              <w:ind w:left="205" w:right="201"/>
              <w:jc w:val="center"/>
              <w:rPr>
                <w:sz w:val="20"/>
              </w:rPr>
            </w:pPr>
            <w:r>
              <w:rPr>
                <w:sz w:val="20"/>
              </w:rPr>
              <w:t>1 test tube,</w:t>
            </w:r>
          </w:p>
          <w:p w14:paraId="2BEAFA04" w14:textId="77777777" w:rsidR="00AC43DA" w:rsidRDefault="00303B2C">
            <w:pPr>
              <w:pStyle w:val="TableParagraph"/>
              <w:spacing w:line="224" w:lineRule="exact"/>
              <w:ind w:left="205" w:right="197"/>
              <w:jc w:val="center"/>
              <w:rPr>
                <w:sz w:val="20"/>
              </w:rPr>
            </w:pPr>
            <w:r>
              <w:rPr>
                <w:sz w:val="20"/>
              </w:rPr>
              <w:t>480 µl</w:t>
            </w:r>
          </w:p>
        </w:tc>
      </w:tr>
      <w:tr w:rsidR="00AC43DA" w14:paraId="3D514BC0" w14:textId="77777777">
        <w:trPr>
          <w:trHeight w:val="916"/>
        </w:trPr>
        <w:tc>
          <w:tcPr>
            <w:tcW w:w="584" w:type="dxa"/>
          </w:tcPr>
          <w:p w14:paraId="68EF4D7F" w14:textId="77777777" w:rsidR="00AC43DA" w:rsidRDefault="00AC43DA">
            <w:pPr>
              <w:pStyle w:val="TableParagraph"/>
              <w:spacing w:before="2"/>
              <w:ind w:left="0"/>
              <w:rPr>
                <w:sz w:val="29"/>
              </w:rPr>
            </w:pPr>
          </w:p>
          <w:p w14:paraId="3F7CE551" w14:textId="77777777" w:rsidR="00AC43DA" w:rsidRDefault="00303B2C">
            <w:pPr>
              <w:pStyle w:val="TableParagraph"/>
              <w:spacing w:before="1"/>
              <w:ind w:left="221"/>
              <w:rPr>
                <w:sz w:val="20"/>
              </w:rPr>
            </w:pPr>
            <w:r>
              <w:rPr>
                <w:sz w:val="20"/>
              </w:rPr>
              <w:t>2.</w:t>
            </w:r>
          </w:p>
        </w:tc>
        <w:tc>
          <w:tcPr>
            <w:tcW w:w="2927" w:type="dxa"/>
          </w:tcPr>
          <w:p w14:paraId="357628A5" w14:textId="77777777" w:rsidR="00AC43DA" w:rsidRDefault="00AC43DA">
            <w:pPr>
              <w:pStyle w:val="TableParagraph"/>
              <w:spacing w:before="2"/>
              <w:ind w:left="0"/>
              <w:rPr>
                <w:sz w:val="29"/>
              </w:rPr>
            </w:pPr>
          </w:p>
          <w:p w14:paraId="11022214" w14:textId="408681C4" w:rsidR="00AC43DA" w:rsidRDefault="0038617A">
            <w:pPr>
              <w:pStyle w:val="TableParagraph"/>
              <w:spacing w:before="1"/>
              <w:rPr>
                <w:sz w:val="20"/>
              </w:rPr>
            </w:pPr>
            <w:r>
              <w:rPr>
                <w:color w:val="000000"/>
                <w:sz w:val="20"/>
                <w:szCs w:val="20"/>
              </w:rPr>
              <w:t>Oligonucleotide mixture</w:t>
            </w:r>
          </w:p>
        </w:tc>
        <w:tc>
          <w:tcPr>
            <w:tcW w:w="2238" w:type="dxa"/>
          </w:tcPr>
          <w:p w14:paraId="1051C3B9" w14:textId="3119185F" w:rsidR="00AC43DA" w:rsidRPr="0038617A" w:rsidRDefault="0038617A">
            <w:pPr>
              <w:pStyle w:val="TableParagraph"/>
              <w:spacing w:before="4" w:line="216" w:lineRule="exact"/>
              <w:ind w:left="124" w:right="108"/>
              <w:jc w:val="center"/>
              <w:rPr>
                <w:sz w:val="20"/>
                <w:lang w:val="en-US"/>
              </w:rPr>
            </w:pPr>
            <w:r w:rsidRPr="0038617A">
              <w:rPr>
                <w:color w:val="000000"/>
                <w:sz w:val="20"/>
                <w:szCs w:val="20"/>
                <w:lang w:val="en-US"/>
              </w:rPr>
              <w:t>Transparent colorless liquid, may have a tinge of lilac colour</w:t>
            </w:r>
          </w:p>
        </w:tc>
        <w:tc>
          <w:tcPr>
            <w:tcW w:w="1455" w:type="dxa"/>
          </w:tcPr>
          <w:p w14:paraId="2BCE578A" w14:textId="77777777" w:rsidR="00AC43DA" w:rsidRPr="001227B6" w:rsidRDefault="00AC43DA">
            <w:pPr>
              <w:pStyle w:val="TableParagraph"/>
              <w:ind w:left="0"/>
              <w:rPr>
                <w:sz w:val="19"/>
                <w:lang w:val="en-US"/>
              </w:rPr>
            </w:pPr>
          </w:p>
          <w:p w14:paraId="26011FFA" w14:textId="77777777" w:rsidR="00AC43DA" w:rsidRDefault="00303B2C">
            <w:pPr>
              <w:pStyle w:val="TableParagraph"/>
              <w:spacing w:line="229" w:lineRule="exact"/>
              <w:ind w:left="226"/>
              <w:rPr>
                <w:sz w:val="20"/>
              </w:rPr>
            </w:pPr>
            <w:r>
              <w:rPr>
                <w:sz w:val="20"/>
              </w:rPr>
              <w:t>1 test tube,</w:t>
            </w:r>
          </w:p>
          <w:p w14:paraId="1434814E" w14:textId="77777777" w:rsidR="00AC43DA" w:rsidRDefault="00303B2C">
            <w:pPr>
              <w:pStyle w:val="TableParagraph"/>
              <w:spacing w:line="229" w:lineRule="exact"/>
              <w:ind w:left="315"/>
              <w:rPr>
                <w:sz w:val="20"/>
              </w:rPr>
            </w:pPr>
            <w:r>
              <w:rPr>
                <w:sz w:val="20"/>
              </w:rPr>
              <w:t>1,440 µl</w:t>
            </w:r>
          </w:p>
        </w:tc>
      </w:tr>
      <w:tr w:rsidR="00AC43DA" w14:paraId="4E9D4350" w14:textId="77777777">
        <w:trPr>
          <w:trHeight w:val="460"/>
        </w:trPr>
        <w:tc>
          <w:tcPr>
            <w:tcW w:w="584" w:type="dxa"/>
          </w:tcPr>
          <w:p w14:paraId="72D3EA5A" w14:textId="77777777" w:rsidR="00AC43DA" w:rsidRDefault="00303B2C">
            <w:pPr>
              <w:pStyle w:val="TableParagraph"/>
              <w:spacing w:before="108"/>
              <w:ind w:left="221"/>
              <w:rPr>
                <w:sz w:val="20"/>
              </w:rPr>
            </w:pPr>
            <w:r>
              <w:rPr>
                <w:sz w:val="20"/>
              </w:rPr>
              <w:t>3.</w:t>
            </w:r>
          </w:p>
        </w:tc>
        <w:tc>
          <w:tcPr>
            <w:tcW w:w="2927" w:type="dxa"/>
          </w:tcPr>
          <w:p w14:paraId="46D26439" w14:textId="55F493BD" w:rsidR="00AC43DA" w:rsidRPr="002A5296" w:rsidRDefault="0038617A">
            <w:pPr>
              <w:pStyle w:val="TableParagraph"/>
              <w:spacing w:before="108"/>
              <w:rPr>
                <w:sz w:val="20"/>
                <w:lang w:val="en-US"/>
              </w:rPr>
            </w:pPr>
            <w:r>
              <w:rPr>
                <w:color w:val="000000"/>
                <w:sz w:val="20"/>
                <w:szCs w:val="20"/>
              </w:rPr>
              <w:t>PC</w:t>
            </w:r>
            <w:r w:rsidR="002A5296">
              <w:rPr>
                <w:color w:val="000000"/>
                <w:sz w:val="20"/>
                <w:szCs w:val="20"/>
                <w:lang w:val="en-US"/>
              </w:rPr>
              <w:t>S</w:t>
            </w:r>
          </w:p>
        </w:tc>
        <w:tc>
          <w:tcPr>
            <w:tcW w:w="2238" w:type="dxa"/>
          </w:tcPr>
          <w:p w14:paraId="105BBD58" w14:textId="73B05966" w:rsidR="00AC43DA" w:rsidRDefault="00303B2C">
            <w:pPr>
              <w:pStyle w:val="TableParagraph"/>
              <w:spacing w:line="228" w:lineRule="auto"/>
              <w:ind w:left="714" w:right="97" w:hanging="588"/>
              <w:rPr>
                <w:sz w:val="20"/>
              </w:rPr>
            </w:pPr>
            <w:r>
              <w:rPr>
                <w:spacing w:val="-1"/>
                <w:sz w:val="20"/>
              </w:rPr>
              <w:t>Transparent</w:t>
            </w:r>
            <w:r w:rsidR="0038617A">
              <w:rPr>
                <w:spacing w:val="-1"/>
                <w:sz w:val="20"/>
              </w:rPr>
              <w:t xml:space="preserve"> </w:t>
            </w:r>
            <w:r>
              <w:rPr>
                <w:sz w:val="20"/>
              </w:rPr>
              <w:t>colorless liquid</w:t>
            </w:r>
          </w:p>
        </w:tc>
        <w:tc>
          <w:tcPr>
            <w:tcW w:w="1455" w:type="dxa"/>
          </w:tcPr>
          <w:p w14:paraId="2A7B9C42" w14:textId="77777777" w:rsidR="00AC43DA" w:rsidRDefault="00303B2C">
            <w:pPr>
              <w:pStyle w:val="TableParagraph"/>
              <w:spacing w:line="215" w:lineRule="exact"/>
              <w:ind w:left="205" w:right="201"/>
              <w:jc w:val="center"/>
              <w:rPr>
                <w:sz w:val="20"/>
              </w:rPr>
            </w:pPr>
            <w:r>
              <w:rPr>
                <w:sz w:val="20"/>
              </w:rPr>
              <w:t>1 test tube,</w:t>
            </w:r>
          </w:p>
          <w:p w14:paraId="632647CC" w14:textId="77777777" w:rsidR="00AC43DA" w:rsidRDefault="00303B2C">
            <w:pPr>
              <w:pStyle w:val="TableParagraph"/>
              <w:spacing w:line="224" w:lineRule="exact"/>
              <w:ind w:left="205" w:right="197"/>
              <w:jc w:val="center"/>
              <w:rPr>
                <w:sz w:val="20"/>
              </w:rPr>
            </w:pPr>
            <w:r>
              <w:rPr>
                <w:sz w:val="20"/>
              </w:rPr>
              <w:t>160 µl</w:t>
            </w:r>
          </w:p>
        </w:tc>
      </w:tr>
      <w:tr w:rsidR="00AC43DA" w14:paraId="58E2B76F" w14:textId="77777777">
        <w:trPr>
          <w:trHeight w:val="460"/>
        </w:trPr>
        <w:tc>
          <w:tcPr>
            <w:tcW w:w="584" w:type="dxa"/>
          </w:tcPr>
          <w:p w14:paraId="022C249D" w14:textId="77777777" w:rsidR="00AC43DA" w:rsidRDefault="00303B2C">
            <w:pPr>
              <w:pStyle w:val="TableParagraph"/>
              <w:spacing w:before="108"/>
              <w:ind w:left="221"/>
              <w:rPr>
                <w:sz w:val="20"/>
              </w:rPr>
            </w:pPr>
            <w:r>
              <w:rPr>
                <w:sz w:val="20"/>
              </w:rPr>
              <w:t>4.</w:t>
            </w:r>
          </w:p>
        </w:tc>
        <w:tc>
          <w:tcPr>
            <w:tcW w:w="2927" w:type="dxa"/>
          </w:tcPr>
          <w:p w14:paraId="728558A0" w14:textId="3CDF19FB" w:rsidR="00AC43DA" w:rsidRPr="002A5296" w:rsidRDefault="0038617A">
            <w:pPr>
              <w:pStyle w:val="TableParagraph"/>
              <w:spacing w:before="108"/>
              <w:rPr>
                <w:sz w:val="20"/>
                <w:lang w:val="en-US"/>
              </w:rPr>
            </w:pPr>
            <w:r>
              <w:rPr>
                <w:color w:val="000000"/>
                <w:sz w:val="20"/>
                <w:szCs w:val="20"/>
              </w:rPr>
              <w:t>NC</w:t>
            </w:r>
            <w:r w:rsidR="002A5296">
              <w:rPr>
                <w:color w:val="000000"/>
                <w:sz w:val="20"/>
                <w:szCs w:val="20"/>
                <w:lang w:val="en-US"/>
              </w:rPr>
              <w:t>S</w:t>
            </w:r>
          </w:p>
        </w:tc>
        <w:tc>
          <w:tcPr>
            <w:tcW w:w="2238" w:type="dxa"/>
          </w:tcPr>
          <w:p w14:paraId="00A5D7CF" w14:textId="23FE73E2" w:rsidR="00AC43DA" w:rsidRDefault="00303B2C">
            <w:pPr>
              <w:pStyle w:val="TableParagraph"/>
              <w:spacing w:line="230" w:lineRule="auto"/>
              <w:ind w:left="714" w:right="97" w:hanging="588"/>
              <w:rPr>
                <w:sz w:val="20"/>
              </w:rPr>
            </w:pPr>
            <w:r>
              <w:rPr>
                <w:spacing w:val="-1"/>
                <w:sz w:val="20"/>
              </w:rPr>
              <w:t>Transparent</w:t>
            </w:r>
            <w:r w:rsidR="0038617A">
              <w:rPr>
                <w:spacing w:val="-1"/>
                <w:sz w:val="20"/>
              </w:rPr>
              <w:t xml:space="preserve"> </w:t>
            </w:r>
            <w:r>
              <w:rPr>
                <w:sz w:val="20"/>
              </w:rPr>
              <w:t>colorless liquid</w:t>
            </w:r>
          </w:p>
        </w:tc>
        <w:tc>
          <w:tcPr>
            <w:tcW w:w="1455" w:type="dxa"/>
          </w:tcPr>
          <w:p w14:paraId="7554D6F8" w14:textId="77777777" w:rsidR="00AC43DA" w:rsidRDefault="00303B2C">
            <w:pPr>
              <w:pStyle w:val="TableParagraph"/>
              <w:spacing w:line="216" w:lineRule="exact"/>
              <w:ind w:left="219"/>
              <w:rPr>
                <w:sz w:val="20"/>
              </w:rPr>
            </w:pPr>
            <w:r>
              <w:rPr>
                <w:sz w:val="20"/>
              </w:rPr>
              <w:t>2 test tubes,</w:t>
            </w:r>
          </w:p>
          <w:p w14:paraId="52C7DFD4" w14:textId="77777777" w:rsidR="00AC43DA" w:rsidRDefault="00303B2C">
            <w:pPr>
              <w:pStyle w:val="TableParagraph"/>
              <w:spacing w:line="224" w:lineRule="exact"/>
              <w:ind w:left="190"/>
              <w:rPr>
                <w:sz w:val="20"/>
              </w:rPr>
            </w:pPr>
            <w:r>
              <w:rPr>
                <w:sz w:val="20"/>
              </w:rPr>
              <w:t>1,600 µl each</w:t>
            </w:r>
          </w:p>
        </w:tc>
      </w:tr>
      <w:tr w:rsidR="00AC43DA" w14:paraId="0F960A1D" w14:textId="77777777">
        <w:trPr>
          <w:trHeight w:val="460"/>
        </w:trPr>
        <w:tc>
          <w:tcPr>
            <w:tcW w:w="584" w:type="dxa"/>
          </w:tcPr>
          <w:p w14:paraId="0CA3FAFD" w14:textId="77777777" w:rsidR="00AC43DA" w:rsidRDefault="00303B2C">
            <w:pPr>
              <w:pStyle w:val="TableParagraph"/>
              <w:spacing w:before="108"/>
              <w:ind w:left="221"/>
              <w:rPr>
                <w:sz w:val="20"/>
              </w:rPr>
            </w:pPr>
            <w:r>
              <w:rPr>
                <w:sz w:val="20"/>
              </w:rPr>
              <w:t>5.</w:t>
            </w:r>
          </w:p>
        </w:tc>
        <w:tc>
          <w:tcPr>
            <w:tcW w:w="2927" w:type="dxa"/>
          </w:tcPr>
          <w:p w14:paraId="09E07156" w14:textId="3A834A51" w:rsidR="00AC43DA" w:rsidRDefault="0038617A">
            <w:pPr>
              <w:pStyle w:val="TableParagraph"/>
              <w:spacing w:before="108"/>
              <w:rPr>
                <w:sz w:val="20"/>
              </w:rPr>
            </w:pPr>
            <w:r w:rsidRPr="0038617A">
              <w:rPr>
                <w:sz w:val="20"/>
              </w:rPr>
              <w:t>ICS</w:t>
            </w:r>
          </w:p>
        </w:tc>
        <w:tc>
          <w:tcPr>
            <w:tcW w:w="2238" w:type="dxa"/>
          </w:tcPr>
          <w:p w14:paraId="0268B747" w14:textId="3DA5FD98" w:rsidR="00AC43DA" w:rsidRDefault="00303B2C">
            <w:pPr>
              <w:pStyle w:val="TableParagraph"/>
              <w:spacing w:line="228" w:lineRule="auto"/>
              <w:ind w:left="714" w:right="97" w:hanging="588"/>
              <w:rPr>
                <w:sz w:val="20"/>
              </w:rPr>
            </w:pPr>
            <w:r>
              <w:rPr>
                <w:spacing w:val="-1"/>
                <w:sz w:val="20"/>
              </w:rPr>
              <w:t>Transparent</w:t>
            </w:r>
            <w:r w:rsidR="0038617A">
              <w:rPr>
                <w:spacing w:val="-1"/>
                <w:sz w:val="20"/>
              </w:rPr>
              <w:t xml:space="preserve"> </w:t>
            </w:r>
            <w:r>
              <w:rPr>
                <w:sz w:val="20"/>
              </w:rPr>
              <w:t>colorless liquid</w:t>
            </w:r>
          </w:p>
        </w:tc>
        <w:tc>
          <w:tcPr>
            <w:tcW w:w="1455" w:type="dxa"/>
          </w:tcPr>
          <w:p w14:paraId="064BD9C4" w14:textId="77777777" w:rsidR="00AC43DA" w:rsidRDefault="00303B2C">
            <w:pPr>
              <w:pStyle w:val="TableParagraph"/>
              <w:spacing w:line="215" w:lineRule="exact"/>
              <w:ind w:left="205" w:right="201"/>
              <w:jc w:val="center"/>
              <w:rPr>
                <w:sz w:val="20"/>
              </w:rPr>
            </w:pPr>
            <w:r>
              <w:rPr>
                <w:sz w:val="20"/>
              </w:rPr>
              <w:t>1 test tube,</w:t>
            </w:r>
          </w:p>
          <w:p w14:paraId="26EDE5CF" w14:textId="77777777" w:rsidR="00AC43DA" w:rsidRDefault="00303B2C">
            <w:pPr>
              <w:pStyle w:val="TableParagraph"/>
              <w:spacing w:line="224" w:lineRule="exact"/>
              <w:ind w:left="205" w:right="197"/>
              <w:jc w:val="center"/>
              <w:rPr>
                <w:sz w:val="20"/>
              </w:rPr>
            </w:pPr>
            <w:r>
              <w:rPr>
                <w:sz w:val="20"/>
              </w:rPr>
              <w:t>950 µl</w:t>
            </w:r>
          </w:p>
        </w:tc>
      </w:tr>
    </w:tbl>
    <w:p w14:paraId="0A0EAF8D" w14:textId="77777777" w:rsidR="00AC43DA" w:rsidRPr="001227B6" w:rsidRDefault="00303B2C">
      <w:pPr>
        <w:ind w:left="328" w:right="340"/>
        <w:jc w:val="both"/>
        <w:rPr>
          <w:lang w:val="en-US"/>
        </w:rPr>
      </w:pPr>
      <w:r w:rsidRPr="001227B6">
        <w:rPr>
          <w:lang w:val="en-US"/>
        </w:rPr>
        <w:t>Note: Operating documentation (instructions for use and quality certificate) are not included in the product, but are included in the product delivery package. A set of reagents, to ensure compliance with transportation conditions, is placed in a reusable polyurethane foam thermal container for temporary storage and transportation with prepared cold elements. The thermal container is placed in a cardboard box and placed there</w:t>
      </w:r>
    </w:p>
    <w:p w14:paraId="7071681C" w14:textId="77777777" w:rsidR="00AC43DA" w:rsidRPr="001227B6" w:rsidRDefault="00AC43DA">
      <w:pPr>
        <w:jc w:val="both"/>
        <w:rPr>
          <w:lang w:val="en-US"/>
        </w:rPr>
        <w:sectPr w:rsidR="00AC43DA" w:rsidRPr="001227B6">
          <w:pgSz w:w="8400" w:h="11920"/>
          <w:pgMar w:top="400" w:right="240" w:bottom="640" w:left="380" w:header="0" w:footer="378" w:gutter="0"/>
          <w:cols w:space="720"/>
        </w:sectPr>
      </w:pPr>
    </w:p>
    <w:p w14:paraId="49B3DEFD" w14:textId="77777777" w:rsidR="00AC43DA" w:rsidRPr="001227B6" w:rsidRDefault="00303B2C">
      <w:pPr>
        <w:spacing w:before="62"/>
        <w:ind w:left="328" w:right="346"/>
        <w:jc w:val="both"/>
        <w:rPr>
          <w:lang w:val="en-US"/>
        </w:rPr>
      </w:pPr>
      <w:bookmarkStart w:id="6" w:name="_bookmark4"/>
      <w:bookmarkEnd w:id="6"/>
      <w:r w:rsidRPr="001227B6">
        <w:rPr>
          <w:lang w:val="en-US"/>
        </w:rPr>
        <w:lastRenderedPageBreak/>
        <w:t>instructions for use and quality certificate for each supplied batch of product.</w:t>
      </w:r>
    </w:p>
    <w:p w14:paraId="147E65DB" w14:textId="77777777" w:rsidR="00AC43DA" w:rsidRPr="001227B6" w:rsidRDefault="00303B2C">
      <w:pPr>
        <w:pStyle w:val="1"/>
        <w:spacing w:line="275" w:lineRule="exact"/>
        <w:rPr>
          <w:lang w:val="en-US"/>
        </w:rPr>
      </w:pPr>
      <w:r w:rsidRPr="001227B6">
        <w:rPr>
          <w:lang w:val="en-US"/>
        </w:rPr>
        <w:t>Set contents</w:t>
      </w:r>
    </w:p>
    <w:p w14:paraId="50164325" w14:textId="53058652" w:rsidR="00AC43DA" w:rsidRPr="001227B6" w:rsidRDefault="00303B2C">
      <w:pPr>
        <w:pStyle w:val="a3"/>
        <w:spacing w:before="2"/>
        <w:ind w:right="342"/>
        <w:rPr>
          <w:lang w:val="en-US"/>
        </w:rPr>
      </w:pPr>
      <w:r w:rsidRPr="001227B6">
        <w:rPr>
          <w:lang w:val="en-US"/>
        </w:rPr>
        <w:t>The PCR</w:t>
      </w:r>
      <w:r w:rsidR="002A5296">
        <w:rPr>
          <w:lang w:val="en-US"/>
        </w:rPr>
        <w:t>-</w:t>
      </w:r>
      <w:r w:rsidRPr="001227B6">
        <w:rPr>
          <w:lang w:val="en-US"/>
        </w:rPr>
        <w:t>buffer contains all the basic reagents, including warm-start reversease, hot-start thermostable DNA polymerase, deoxynucleotide triphosphates and an optimized buffer.</w:t>
      </w:r>
    </w:p>
    <w:p w14:paraId="011AD250" w14:textId="77777777" w:rsidR="00AC43DA" w:rsidRPr="001227B6" w:rsidRDefault="00303B2C">
      <w:pPr>
        <w:pStyle w:val="a3"/>
        <w:ind w:right="346"/>
        <w:rPr>
          <w:lang w:val="en-US"/>
        </w:rPr>
      </w:pPr>
      <w:r w:rsidRPr="001227B6">
        <w:rPr>
          <w:lang w:val="en-US"/>
        </w:rPr>
        <w:t>The oligonucleotide mixture is ready to use and contains primers and probes designed to identify specific targets - see Table 1. The oligonucleotide mixture is in a 10% aqueous solution of TE (1 mM Tris, 0.1 mM EDTA), free of nucleases.</w:t>
      </w:r>
    </w:p>
    <w:p w14:paraId="7D0301CE" w14:textId="4D9AFBA1" w:rsidR="00AC43DA" w:rsidRPr="001227B6" w:rsidRDefault="002A5296">
      <w:pPr>
        <w:pStyle w:val="a3"/>
        <w:spacing w:before="1"/>
        <w:ind w:right="343"/>
        <w:rPr>
          <w:lang w:val="en-US"/>
        </w:rPr>
      </w:pPr>
      <w:r>
        <w:rPr>
          <w:b/>
          <w:lang w:val="en-US"/>
        </w:rPr>
        <w:t xml:space="preserve">PCS </w:t>
      </w:r>
      <w:r w:rsidR="00303B2C" w:rsidRPr="001227B6">
        <w:rPr>
          <w:lang w:val="en-US"/>
        </w:rPr>
        <w:t xml:space="preserve">ready for use and is a mixture of plasmid DNA with synthetic inserts of amplified fragments of the genomic DNA of the hepatitis B virus and cDNA of the hepatitis C and D viruses, as well as a fragment of the bacteriophage genome. </w:t>
      </w:r>
      <w:r>
        <w:rPr>
          <w:lang w:val="en-US"/>
        </w:rPr>
        <w:t>PCS</w:t>
      </w:r>
      <w:r w:rsidR="00303B2C" w:rsidRPr="001227B6">
        <w:rPr>
          <w:lang w:val="en-US"/>
        </w:rPr>
        <w:t xml:space="preserve"> is in 10% TE buffer (1 mM Tris, 0.1 mM EDTA).</w:t>
      </w:r>
    </w:p>
    <w:p w14:paraId="77692542" w14:textId="64B77E1D" w:rsidR="00AC43DA" w:rsidRPr="001227B6" w:rsidRDefault="002A5296">
      <w:pPr>
        <w:pStyle w:val="a3"/>
        <w:ind w:right="354"/>
        <w:rPr>
          <w:lang w:val="en-US"/>
        </w:rPr>
      </w:pPr>
      <w:r>
        <w:rPr>
          <w:b/>
          <w:lang w:val="en-US"/>
        </w:rPr>
        <w:t xml:space="preserve">NCS </w:t>
      </w:r>
      <w:r w:rsidR="00303B2C" w:rsidRPr="001227B6">
        <w:rPr>
          <w:lang w:val="en-US"/>
        </w:rPr>
        <w:t>ready to use and is DNase and RNase free deionized water.</w:t>
      </w:r>
    </w:p>
    <w:p w14:paraId="17C7503D" w14:textId="7A3A6005" w:rsidR="00AC43DA" w:rsidRPr="001227B6" w:rsidRDefault="002A5296">
      <w:pPr>
        <w:pStyle w:val="a3"/>
        <w:ind w:right="345"/>
        <w:rPr>
          <w:lang w:val="en-US"/>
        </w:rPr>
      </w:pPr>
      <w:r>
        <w:rPr>
          <w:b/>
          <w:lang w:val="en-US"/>
        </w:rPr>
        <w:t xml:space="preserve">ICS </w:t>
      </w:r>
      <w:r w:rsidR="00303B2C" w:rsidRPr="001227B6">
        <w:rPr>
          <w:lang w:val="en-US"/>
        </w:rPr>
        <w:t>is a preparation of reinforced RNA in TE buffer (10 mM Tris, 1 mM EDTA).</w:t>
      </w:r>
    </w:p>
    <w:p w14:paraId="545DDFFE" w14:textId="77777777" w:rsidR="00AC43DA" w:rsidRPr="001227B6" w:rsidRDefault="00303B2C">
      <w:pPr>
        <w:pStyle w:val="a3"/>
        <w:ind w:right="350"/>
        <w:rPr>
          <w:lang w:val="en-US"/>
        </w:rPr>
      </w:pPr>
      <w:r w:rsidRPr="001227B6">
        <w:rPr>
          <w:lang w:val="en-US"/>
        </w:rPr>
        <w:t>The kit does not contain drugs for medical use, substances of human or animal origin.</w:t>
      </w:r>
    </w:p>
    <w:p w14:paraId="3066F714"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79219201" w14:textId="77777777" w:rsidR="00AC43DA" w:rsidRDefault="00303B2C">
      <w:pPr>
        <w:pStyle w:val="1"/>
        <w:numPr>
          <w:ilvl w:val="1"/>
          <w:numId w:val="23"/>
        </w:numPr>
        <w:tabs>
          <w:tab w:val="left" w:pos="2105"/>
        </w:tabs>
        <w:spacing w:before="64"/>
        <w:ind w:left="2105" w:hanging="241"/>
        <w:jc w:val="left"/>
      </w:pPr>
      <w:r>
        <w:lastRenderedPageBreak/>
        <w:t>Characteristics of the reagent kit</w:t>
      </w:r>
    </w:p>
    <w:p w14:paraId="17EB251B" w14:textId="77777777" w:rsidR="00AC43DA" w:rsidRDefault="00303B2C">
      <w:pPr>
        <w:pStyle w:val="a6"/>
        <w:numPr>
          <w:ilvl w:val="1"/>
          <w:numId w:val="22"/>
        </w:numPr>
        <w:tabs>
          <w:tab w:val="left" w:pos="1315"/>
        </w:tabs>
        <w:jc w:val="left"/>
        <w:rPr>
          <w:b/>
          <w:sz w:val="24"/>
        </w:rPr>
      </w:pPr>
      <w:r>
        <w:rPr>
          <w:b/>
          <w:sz w:val="24"/>
        </w:rPr>
        <w:t>Technical and functional characteristics</w:t>
      </w:r>
    </w:p>
    <w:p w14:paraId="32FB3049" w14:textId="77777777" w:rsidR="00AC43DA" w:rsidRDefault="00AC43DA">
      <w:pPr>
        <w:pStyle w:val="a3"/>
        <w:spacing w:before="10"/>
        <w:ind w:left="0" w:firstLine="0"/>
        <w:jc w:val="left"/>
        <w:rPr>
          <w:b/>
          <w:sz w:val="23"/>
        </w:rPr>
      </w:pPr>
    </w:p>
    <w:p w14:paraId="69783230" w14:textId="77777777" w:rsidR="00AC43DA" w:rsidRPr="001227B6" w:rsidRDefault="00303B2C">
      <w:pPr>
        <w:pStyle w:val="a3"/>
        <w:spacing w:after="8"/>
        <w:ind w:left="894" w:firstLine="0"/>
        <w:jc w:val="left"/>
        <w:rPr>
          <w:lang w:val="en-US"/>
        </w:rPr>
      </w:pPr>
      <w:r w:rsidRPr="001227B6">
        <w:rPr>
          <w:lang w:val="en-US"/>
        </w:rPr>
        <w:t>Table 3 – “HEPA-BCD-test” reagent kit</w:t>
      </w:r>
    </w:p>
    <w:tbl>
      <w:tblPr>
        <w:tblStyle w:val="TableNormal"/>
        <w:tblW w:w="0" w:type="auto"/>
        <w:tblInd w:w="22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986"/>
        <w:gridCol w:w="3973"/>
        <w:gridCol w:w="1277"/>
      </w:tblGrid>
      <w:tr w:rsidR="00AC43DA" w14:paraId="61FB4496" w14:textId="77777777">
        <w:trPr>
          <w:trHeight w:val="537"/>
        </w:trPr>
        <w:tc>
          <w:tcPr>
            <w:tcW w:w="1986" w:type="dxa"/>
          </w:tcPr>
          <w:p w14:paraId="432A5B31" w14:textId="77777777" w:rsidR="00AC43DA" w:rsidRDefault="00303B2C">
            <w:pPr>
              <w:pStyle w:val="TableParagraph"/>
              <w:spacing w:before="36"/>
              <w:ind w:left="485" w:right="293" w:hanging="161"/>
              <w:rPr>
                <w:b/>
                <w:sz w:val="20"/>
              </w:rPr>
            </w:pPr>
            <w:r>
              <w:rPr>
                <w:b/>
                <w:sz w:val="20"/>
              </w:rPr>
              <w:t>Indicator name</w:t>
            </w:r>
          </w:p>
        </w:tc>
        <w:tc>
          <w:tcPr>
            <w:tcW w:w="3973" w:type="dxa"/>
          </w:tcPr>
          <w:p w14:paraId="4AF93507" w14:textId="77777777" w:rsidR="00AC43DA" w:rsidRDefault="00303B2C">
            <w:pPr>
              <w:pStyle w:val="TableParagraph"/>
              <w:spacing w:before="154"/>
              <w:ind w:left="810"/>
              <w:rPr>
                <w:b/>
                <w:sz w:val="20"/>
              </w:rPr>
            </w:pPr>
            <w:r>
              <w:rPr>
                <w:b/>
                <w:sz w:val="20"/>
              </w:rPr>
              <w:t>Characteristics and standards</w:t>
            </w:r>
          </w:p>
        </w:tc>
        <w:tc>
          <w:tcPr>
            <w:tcW w:w="1277" w:type="dxa"/>
          </w:tcPr>
          <w:p w14:paraId="5574194B" w14:textId="77777777" w:rsidR="00AC43DA" w:rsidRDefault="00303B2C">
            <w:pPr>
              <w:pStyle w:val="TableParagraph"/>
              <w:spacing w:before="154"/>
              <w:ind w:left="159" w:right="154"/>
              <w:jc w:val="center"/>
              <w:rPr>
                <w:b/>
                <w:sz w:val="20"/>
              </w:rPr>
            </w:pPr>
            <w:r>
              <w:rPr>
                <w:b/>
                <w:sz w:val="20"/>
              </w:rPr>
              <w:t>Item TU</w:t>
            </w:r>
          </w:p>
        </w:tc>
      </w:tr>
      <w:tr w:rsidR="00AC43DA" w14:paraId="0F22BA56" w14:textId="77777777">
        <w:trPr>
          <w:trHeight w:val="230"/>
        </w:trPr>
        <w:tc>
          <w:tcPr>
            <w:tcW w:w="5959" w:type="dxa"/>
            <w:gridSpan w:val="2"/>
          </w:tcPr>
          <w:p w14:paraId="7F830F5F" w14:textId="77777777" w:rsidR="00AC43DA" w:rsidRDefault="00303B2C">
            <w:pPr>
              <w:pStyle w:val="TableParagraph"/>
              <w:spacing w:line="210" w:lineRule="exact"/>
              <w:ind w:left="1536"/>
              <w:rPr>
                <w:b/>
                <w:sz w:val="20"/>
              </w:rPr>
            </w:pPr>
            <w:r>
              <w:rPr>
                <w:b/>
                <w:sz w:val="20"/>
              </w:rPr>
              <w:t>1. Specifications</w:t>
            </w:r>
          </w:p>
        </w:tc>
        <w:tc>
          <w:tcPr>
            <w:tcW w:w="1277" w:type="dxa"/>
          </w:tcPr>
          <w:p w14:paraId="61F1AA64" w14:textId="77777777" w:rsidR="00AC43DA" w:rsidRDefault="00303B2C">
            <w:pPr>
              <w:pStyle w:val="TableParagraph"/>
              <w:spacing w:line="210" w:lineRule="exact"/>
              <w:ind w:left="10"/>
              <w:jc w:val="center"/>
              <w:rPr>
                <w:b/>
                <w:sz w:val="20"/>
              </w:rPr>
            </w:pPr>
            <w:r>
              <w:rPr>
                <w:b/>
                <w:w w:val="96"/>
                <w:sz w:val="20"/>
              </w:rPr>
              <w:t>1</w:t>
            </w:r>
          </w:p>
        </w:tc>
      </w:tr>
      <w:tr w:rsidR="00AC43DA" w14:paraId="781BA8E6" w14:textId="77777777">
        <w:trPr>
          <w:trHeight w:val="230"/>
        </w:trPr>
        <w:tc>
          <w:tcPr>
            <w:tcW w:w="5959" w:type="dxa"/>
            <w:gridSpan w:val="2"/>
          </w:tcPr>
          <w:p w14:paraId="42534052" w14:textId="77777777" w:rsidR="00AC43DA" w:rsidRDefault="00303B2C">
            <w:pPr>
              <w:pStyle w:val="TableParagraph"/>
              <w:spacing w:line="210" w:lineRule="exact"/>
              <w:ind w:left="107"/>
              <w:rPr>
                <w:sz w:val="20"/>
              </w:rPr>
            </w:pPr>
            <w:r>
              <w:rPr>
                <w:sz w:val="20"/>
              </w:rPr>
              <w:t>1. Appearance</w:t>
            </w:r>
          </w:p>
        </w:tc>
        <w:tc>
          <w:tcPr>
            <w:tcW w:w="1277" w:type="dxa"/>
          </w:tcPr>
          <w:p w14:paraId="0ED763C8" w14:textId="77777777" w:rsidR="00AC43DA" w:rsidRDefault="00AC43DA">
            <w:pPr>
              <w:pStyle w:val="TableParagraph"/>
              <w:ind w:left="0"/>
              <w:rPr>
                <w:sz w:val="16"/>
              </w:rPr>
            </w:pPr>
          </w:p>
        </w:tc>
      </w:tr>
      <w:tr w:rsidR="00AC43DA" w14:paraId="27E9637B" w14:textId="77777777">
        <w:trPr>
          <w:trHeight w:val="457"/>
        </w:trPr>
        <w:tc>
          <w:tcPr>
            <w:tcW w:w="1986" w:type="dxa"/>
          </w:tcPr>
          <w:p w14:paraId="582B7710" w14:textId="28C362D7" w:rsidR="00AC43DA" w:rsidRDefault="00303B2C">
            <w:pPr>
              <w:pStyle w:val="TableParagraph"/>
              <w:spacing w:before="108"/>
              <w:ind w:left="107"/>
              <w:rPr>
                <w:sz w:val="20"/>
              </w:rPr>
            </w:pPr>
            <w:r>
              <w:rPr>
                <w:sz w:val="20"/>
              </w:rPr>
              <w:t>PCR</w:t>
            </w:r>
            <w:r w:rsidR="002A5296">
              <w:rPr>
                <w:sz w:val="20"/>
                <w:lang w:val="en-US"/>
              </w:rPr>
              <w:t>-</w:t>
            </w:r>
            <w:r>
              <w:rPr>
                <w:sz w:val="20"/>
              </w:rPr>
              <w:t>buffer</w:t>
            </w:r>
          </w:p>
        </w:tc>
        <w:tc>
          <w:tcPr>
            <w:tcW w:w="3973" w:type="dxa"/>
          </w:tcPr>
          <w:p w14:paraId="1683963A" w14:textId="77777777" w:rsidR="00AC43DA" w:rsidRDefault="00303B2C">
            <w:pPr>
              <w:pStyle w:val="TableParagraph"/>
              <w:spacing w:line="221" w:lineRule="exact"/>
              <w:ind w:left="107"/>
              <w:rPr>
                <w:sz w:val="20"/>
              </w:rPr>
            </w:pPr>
            <w:r>
              <w:rPr>
                <w:sz w:val="20"/>
              </w:rPr>
              <w:t>Transparent colorless liquid</w:t>
            </w:r>
          </w:p>
        </w:tc>
        <w:tc>
          <w:tcPr>
            <w:tcW w:w="1277" w:type="dxa"/>
          </w:tcPr>
          <w:p w14:paraId="5126FABF" w14:textId="77777777" w:rsidR="00AC43DA" w:rsidRDefault="00303B2C">
            <w:pPr>
              <w:pStyle w:val="TableParagraph"/>
              <w:spacing w:line="215" w:lineRule="exact"/>
              <w:ind w:left="253"/>
              <w:rPr>
                <w:sz w:val="20"/>
              </w:rPr>
            </w:pPr>
            <w:r>
              <w:rPr>
                <w:sz w:val="20"/>
              </w:rPr>
              <w:t>Section 7</w:t>
            </w:r>
          </w:p>
          <w:p w14:paraId="5F6E5CC2" w14:textId="77777777" w:rsidR="00AC43DA" w:rsidRDefault="00303B2C">
            <w:pPr>
              <w:pStyle w:val="TableParagraph"/>
              <w:spacing w:line="223" w:lineRule="exact"/>
              <w:ind w:left="239"/>
              <w:rPr>
                <w:sz w:val="20"/>
              </w:rPr>
            </w:pPr>
            <w:r>
              <w:rPr>
                <w:sz w:val="20"/>
              </w:rPr>
              <w:t>paragraph 7</w:t>
            </w:r>
            <w:r>
              <w:rPr>
                <w:color w:val="000009"/>
                <w:sz w:val="20"/>
              </w:rPr>
              <w:t>.6</w:t>
            </w:r>
          </w:p>
        </w:tc>
      </w:tr>
      <w:tr w:rsidR="00AC43DA" w14:paraId="3A874F2C" w14:textId="77777777">
        <w:trPr>
          <w:trHeight w:val="461"/>
        </w:trPr>
        <w:tc>
          <w:tcPr>
            <w:tcW w:w="1986" w:type="dxa"/>
          </w:tcPr>
          <w:p w14:paraId="1AA9532F" w14:textId="761A5A10" w:rsidR="00AC43DA" w:rsidRDefault="002A5296">
            <w:pPr>
              <w:pStyle w:val="TableParagraph"/>
              <w:spacing w:line="223" w:lineRule="exact"/>
              <w:ind w:left="107"/>
              <w:rPr>
                <w:sz w:val="20"/>
              </w:rPr>
            </w:pPr>
            <w:r w:rsidRPr="002A5296">
              <w:rPr>
                <w:sz w:val="20"/>
              </w:rPr>
              <w:t>Oligonucleotide mixture</w:t>
            </w:r>
          </w:p>
        </w:tc>
        <w:tc>
          <w:tcPr>
            <w:tcW w:w="3973" w:type="dxa"/>
          </w:tcPr>
          <w:p w14:paraId="6CE8EB64" w14:textId="77777777" w:rsidR="00AC43DA" w:rsidRPr="001227B6" w:rsidRDefault="00303B2C">
            <w:pPr>
              <w:pStyle w:val="TableParagraph"/>
              <w:spacing w:line="228" w:lineRule="exact"/>
              <w:ind w:left="107" w:right="363"/>
              <w:rPr>
                <w:sz w:val="20"/>
                <w:lang w:val="en-US"/>
              </w:rPr>
            </w:pPr>
            <w:r w:rsidRPr="001227B6">
              <w:rPr>
                <w:sz w:val="20"/>
                <w:lang w:val="en-US"/>
              </w:rPr>
              <w:t>Transparent colorless liquid, may have a lilac tint</w:t>
            </w:r>
          </w:p>
        </w:tc>
        <w:tc>
          <w:tcPr>
            <w:tcW w:w="1277" w:type="dxa"/>
          </w:tcPr>
          <w:p w14:paraId="3E9B59CF" w14:textId="77777777" w:rsidR="00AC43DA" w:rsidRDefault="00303B2C">
            <w:pPr>
              <w:pStyle w:val="TableParagraph"/>
              <w:spacing w:line="217" w:lineRule="exact"/>
              <w:ind w:left="253"/>
              <w:rPr>
                <w:sz w:val="20"/>
              </w:rPr>
            </w:pPr>
            <w:r>
              <w:rPr>
                <w:sz w:val="20"/>
              </w:rPr>
              <w:t>Section 7</w:t>
            </w:r>
          </w:p>
          <w:p w14:paraId="68D1250D" w14:textId="77777777" w:rsidR="00AC43DA" w:rsidRDefault="00303B2C">
            <w:pPr>
              <w:pStyle w:val="TableParagraph"/>
              <w:spacing w:line="223" w:lineRule="exact"/>
              <w:ind w:left="239"/>
              <w:rPr>
                <w:sz w:val="20"/>
              </w:rPr>
            </w:pPr>
            <w:r>
              <w:rPr>
                <w:sz w:val="20"/>
              </w:rPr>
              <w:t>paragraph 7</w:t>
            </w:r>
            <w:r>
              <w:rPr>
                <w:color w:val="000009"/>
                <w:sz w:val="20"/>
              </w:rPr>
              <w:t>.6</w:t>
            </w:r>
          </w:p>
        </w:tc>
      </w:tr>
      <w:tr w:rsidR="00AC43DA" w14:paraId="3B851E55" w14:textId="77777777">
        <w:trPr>
          <w:trHeight w:val="460"/>
        </w:trPr>
        <w:tc>
          <w:tcPr>
            <w:tcW w:w="1986" w:type="dxa"/>
          </w:tcPr>
          <w:p w14:paraId="73F51097" w14:textId="193394D1" w:rsidR="00AC43DA" w:rsidRDefault="002A5296">
            <w:pPr>
              <w:pStyle w:val="TableParagraph"/>
              <w:spacing w:before="108"/>
              <w:ind w:left="107"/>
              <w:rPr>
                <w:sz w:val="20"/>
              </w:rPr>
            </w:pPr>
            <w:r>
              <w:rPr>
                <w:sz w:val="20"/>
              </w:rPr>
              <w:t>PCS</w:t>
            </w:r>
          </w:p>
        </w:tc>
        <w:tc>
          <w:tcPr>
            <w:tcW w:w="3973" w:type="dxa"/>
          </w:tcPr>
          <w:p w14:paraId="1B8A673F" w14:textId="77777777" w:rsidR="00AC43DA" w:rsidRDefault="00303B2C">
            <w:pPr>
              <w:pStyle w:val="TableParagraph"/>
              <w:spacing w:line="223" w:lineRule="exact"/>
              <w:ind w:left="107"/>
              <w:rPr>
                <w:sz w:val="20"/>
              </w:rPr>
            </w:pPr>
            <w:r>
              <w:rPr>
                <w:sz w:val="20"/>
              </w:rPr>
              <w:t>Transparent colorless liquid</w:t>
            </w:r>
          </w:p>
        </w:tc>
        <w:tc>
          <w:tcPr>
            <w:tcW w:w="1277" w:type="dxa"/>
          </w:tcPr>
          <w:p w14:paraId="27A78F11" w14:textId="77777777" w:rsidR="00AC43DA" w:rsidRDefault="00303B2C">
            <w:pPr>
              <w:pStyle w:val="TableParagraph"/>
              <w:spacing w:line="216" w:lineRule="exact"/>
              <w:ind w:left="253"/>
              <w:rPr>
                <w:sz w:val="20"/>
              </w:rPr>
            </w:pPr>
            <w:r>
              <w:rPr>
                <w:sz w:val="20"/>
              </w:rPr>
              <w:t>Section 7</w:t>
            </w:r>
          </w:p>
          <w:p w14:paraId="622834F9" w14:textId="77777777" w:rsidR="00AC43DA" w:rsidRDefault="00303B2C">
            <w:pPr>
              <w:pStyle w:val="TableParagraph"/>
              <w:spacing w:line="223" w:lineRule="exact"/>
              <w:ind w:left="239"/>
              <w:rPr>
                <w:sz w:val="20"/>
              </w:rPr>
            </w:pPr>
            <w:r>
              <w:rPr>
                <w:sz w:val="20"/>
              </w:rPr>
              <w:t>paragraph 7</w:t>
            </w:r>
            <w:r>
              <w:rPr>
                <w:color w:val="000009"/>
                <w:sz w:val="20"/>
              </w:rPr>
              <w:t>.6</w:t>
            </w:r>
          </w:p>
        </w:tc>
      </w:tr>
      <w:tr w:rsidR="00AC43DA" w14:paraId="2574593C" w14:textId="77777777">
        <w:trPr>
          <w:trHeight w:val="457"/>
        </w:trPr>
        <w:tc>
          <w:tcPr>
            <w:tcW w:w="1986" w:type="dxa"/>
          </w:tcPr>
          <w:p w14:paraId="7CE96F9A" w14:textId="5661DE66" w:rsidR="00AC43DA" w:rsidRDefault="002A5296">
            <w:pPr>
              <w:pStyle w:val="TableParagraph"/>
              <w:spacing w:before="106"/>
              <w:ind w:left="107"/>
              <w:rPr>
                <w:sz w:val="20"/>
              </w:rPr>
            </w:pPr>
            <w:r>
              <w:rPr>
                <w:sz w:val="20"/>
              </w:rPr>
              <w:t>NCS</w:t>
            </w:r>
          </w:p>
        </w:tc>
        <w:tc>
          <w:tcPr>
            <w:tcW w:w="3973" w:type="dxa"/>
          </w:tcPr>
          <w:p w14:paraId="226B6726" w14:textId="77777777" w:rsidR="00AC43DA" w:rsidRDefault="00303B2C">
            <w:pPr>
              <w:pStyle w:val="TableParagraph"/>
              <w:spacing w:line="221" w:lineRule="exact"/>
              <w:ind w:left="107"/>
              <w:rPr>
                <w:sz w:val="20"/>
              </w:rPr>
            </w:pPr>
            <w:r>
              <w:rPr>
                <w:sz w:val="20"/>
              </w:rPr>
              <w:t>Transparent colorless liquid</w:t>
            </w:r>
          </w:p>
        </w:tc>
        <w:tc>
          <w:tcPr>
            <w:tcW w:w="1277" w:type="dxa"/>
          </w:tcPr>
          <w:p w14:paraId="0D60EE8E" w14:textId="77777777" w:rsidR="00AC43DA" w:rsidRDefault="00303B2C">
            <w:pPr>
              <w:pStyle w:val="TableParagraph"/>
              <w:spacing w:line="215" w:lineRule="exact"/>
              <w:ind w:left="253"/>
              <w:rPr>
                <w:sz w:val="20"/>
              </w:rPr>
            </w:pPr>
            <w:r>
              <w:rPr>
                <w:sz w:val="20"/>
              </w:rPr>
              <w:t>Section 7</w:t>
            </w:r>
          </w:p>
          <w:p w14:paraId="5AAC7794" w14:textId="77777777" w:rsidR="00AC43DA" w:rsidRDefault="00303B2C">
            <w:pPr>
              <w:pStyle w:val="TableParagraph"/>
              <w:spacing w:line="223" w:lineRule="exact"/>
              <w:ind w:left="239"/>
              <w:rPr>
                <w:sz w:val="20"/>
              </w:rPr>
            </w:pPr>
            <w:r>
              <w:rPr>
                <w:sz w:val="20"/>
              </w:rPr>
              <w:t>paragraph 7</w:t>
            </w:r>
            <w:r>
              <w:rPr>
                <w:color w:val="000009"/>
                <w:sz w:val="20"/>
              </w:rPr>
              <w:t>.6</w:t>
            </w:r>
          </w:p>
        </w:tc>
      </w:tr>
      <w:tr w:rsidR="00AC43DA" w14:paraId="622ACA49" w14:textId="77777777">
        <w:trPr>
          <w:trHeight w:val="460"/>
        </w:trPr>
        <w:tc>
          <w:tcPr>
            <w:tcW w:w="1986" w:type="dxa"/>
          </w:tcPr>
          <w:p w14:paraId="7B901EEC" w14:textId="43C86794" w:rsidR="00AC43DA" w:rsidRDefault="002A5296">
            <w:pPr>
              <w:pStyle w:val="TableParagraph"/>
              <w:spacing w:before="108"/>
              <w:ind w:left="107"/>
              <w:rPr>
                <w:sz w:val="20"/>
              </w:rPr>
            </w:pPr>
            <w:r>
              <w:rPr>
                <w:sz w:val="20"/>
              </w:rPr>
              <w:t>ICS</w:t>
            </w:r>
          </w:p>
        </w:tc>
        <w:tc>
          <w:tcPr>
            <w:tcW w:w="3973" w:type="dxa"/>
          </w:tcPr>
          <w:p w14:paraId="62FF328D" w14:textId="77777777" w:rsidR="00AC43DA" w:rsidRDefault="00303B2C">
            <w:pPr>
              <w:pStyle w:val="TableParagraph"/>
              <w:spacing w:line="221" w:lineRule="exact"/>
              <w:ind w:left="107"/>
              <w:rPr>
                <w:sz w:val="20"/>
              </w:rPr>
            </w:pPr>
            <w:r>
              <w:rPr>
                <w:sz w:val="20"/>
              </w:rPr>
              <w:t>Transparent colorless liquid</w:t>
            </w:r>
          </w:p>
        </w:tc>
        <w:tc>
          <w:tcPr>
            <w:tcW w:w="1277" w:type="dxa"/>
          </w:tcPr>
          <w:p w14:paraId="73433DEF" w14:textId="77777777" w:rsidR="00AC43DA" w:rsidRDefault="00303B2C">
            <w:pPr>
              <w:pStyle w:val="TableParagraph"/>
              <w:spacing w:line="215" w:lineRule="exact"/>
              <w:ind w:left="253"/>
              <w:rPr>
                <w:sz w:val="20"/>
              </w:rPr>
            </w:pPr>
            <w:r>
              <w:rPr>
                <w:sz w:val="20"/>
              </w:rPr>
              <w:t>Section 7</w:t>
            </w:r>
          </w:p>
          <w:p w14:paraId="75ABFD8C" w14:textId="77777777" w:rsidR="00AC43DA" w:rsidRDefault="00303B2C">
            <w:pPr>
              <w:pStyle w:val="TableParagraph"/>
              <w:spacing w:line="224" w:lineRule="exact"/>
              <w:ind w:left="239"/>
              <w:rPr>
                <w:sz w:val="20"/>
              </w:rPr>
            </w:pPr>
            <w:r>
              <w:rPr>
                <w:sz w:val="20"/>
              </w:rPr>
              <w:t>paragraph 7</w:t>
            </w:r>
            <w:r>
              <w:rPr>
                <w:color w:val="000009"/>
                <w:sz w:val="20"/>
              </w:rPr>
              <w:t>.6</w:t>
            </w:r>
          </w:p>
        </w:tc>
      </w:tr>
      <w:tr w:rsidR="00AC43DA" w14:paraId="0EA3C760" w14:textId="77777777">
        <w:trPr>
          <w:trHeight w:val="465"/>
        </w:trPr>
        <w:tc>
          <w:tcPr>
            <w:tcW w:w="1986" w:type="dxa"/>
          </w:tcPr>
          <w:p w14:paraId="1E9F380D" w14:textId="77777777" w:rsidR="00AC43DA" w:rsidRDefault="00303B2C">
            <w:pPr>
              <w:pStyle w:val="TableParagraph"/>
              <w:spacing w:before="110"/>
              <w:ind w:left="107"/>
              <w:rPr>
                <w:sz w:val="20"/>
              </w:rPr>
            </w:pPr>
            <w:r>
              <w:rPr>
                <w:sz w:val="20"/>
              </w:rPr>
              <w:t>1.2. Completeness</w:t>
            </w:r>
          </w:p>
        </w:tc>
        <w:tc>
          <w:tcPr>
            <w:tcW w:w="3973" w:type="dxa"/>
          </w:tcPr>
          <w:p w14:paraId="5D3602EB" w14:textId="5113223E" w:rsidR="00AC43DA" w:rsidRPr="001227B6" w:rsidRDefault="00303B2C">
            <w:pPr>
              <w:pStyle w:val="TableParagraph"/>
              <w:spacing w:line="235" w:lineRule="auto"/>
              <w:ind w:left="107" w:right="399"/>
              <w:rPr>
                <w:sz w:val="20"/>
                <w:lang w:val="en-US"/>
              </w:rPr>
            </w:pPr>
            <w:r w:rsidRPr="001227B6">
              <w:rPr>
                <w:sz w:val="20"/>
                <w:lang w:val="en-US"/>
              </w:rPr>
              <w:t xml:space="preserve">In accordance with clause 1.4 of </w:t>
            </w:r>
            <w:r w:rsidR="003D5103">
              <w:rPr>
                <w:sz w:val="20"/>
                <w:lang w:val="en-US"/>
              </w:rPr>
              <w:t>TS 21.20.23</w:t>
            </w:r>
            <w:r w:rsidRPr="001227B6">
              <w:rPr>
                <w:sz w:val="20"/>
                <w:lang w:val="en-US"/>
              </w:rPr>
              <w:t>-021-97638376-2020</w:t>
            </w:r>
          </w:p>
        </w:tc>
        <w:tc>
          <w:tcPr>
            <w:tcW w:w="1277" w:type="dxa"/>
          </w:tcPr>
          <w:p w14:paraId="7C1AD40C" w14:textId="77777777" w:rsidR="00AC43DA" w:rsidRDefault="00303B2C">
            <w:pPr>
              <w:pStyle w:val="TableParagraph"/>
              <w:spacing w:line="218" w:lineRule="exact"/>
              <w:ind w:left="253"/>
              <w:rPr>
                <w:sz w:val="20"/>
              </w:rPr>
            </w:pPr>
            <w:r>
              <w:rPr>
                <w:sz w:val="20"/>
              </w:rPr>
              <w:t>Section 7</w:t>
            </w:r>
          </w:p>
          <w:p w14:paraId="2C45D908" w14:textId="77777777" w:rsidR="00AC43DA" w:rsidRDefault="00303B2C">
            <w:pPr>
              <w:pStyle w:val="TableParagraph"/>
              <w:spacing w:line="225" w:lineRule="exact"/>
              <w:ind w:left="191"/>
              <w:rPr>
                <w:sz w:val="20"/>
              </w:rPr>
            </w:pPr>
            <w:r>
              <w:rPr>
                <w:sz w:val="20"/>
              </w:rPr>
              <w:t>paragraph 7</w:t>
            </w:r>
            <w:r>
              <w:rPr>
                <w:color w:val="000009"/>
                <w:sz w:val="20"/>
              </w:rPr>
              <w:t>.12</w:t>
            </w:r>
          </w:p>
        </w:tc>
      </w:tr>
      <w:tr w:rsidR="00AC43DA" w14:paraId="271237C3" w14:textId="77777777">
        <w:trPr>
          <w:trHeight w:val="458"/>
        </w:trPr>
        <w:tc>
          <w:tcPr>
            <w:tcW w:w="1986" w:type="dxa"/>
          </w:tcPr>
          <w:p w14:paraId="3C245B95" w14:textId="77777777" w:rsidR="00AC43DA" w:rsidRDefault="00303B2C">
            <w:pPr>
              <w:pStyle w:val="TableParagraph"/>
              <w:spacing w:before="108"/>
              <w:ind w:left="107"/>
              <w:rPr>
                <w:sz w:val="20"/>
              </w:rPr>
            </w:pPr>
            <w:r>
              <w:rPr>
                <w:sz w:val="20"/>
              </w:rPr>
              <w:t>1.3. Marking</w:t>
            </w:r>
          </w:p>
        </w:tc>
        <w:tc>
          <w:tcPr>
            <w:tcW w:w="3973" w:type="dxa"/>
          </w:tcPr>
          <w:p w14:paraId="59DA3553" w14:textId="62C87A01" w:rsidR="00AC43DA" w:rsidRPr="001227B6" w:rsidRDefault="00303B2C">
            <w:pPr>
              <w:pStyle w:val="TableParagraph"/>
              <w:spacing w:line="228" w:lineRule="auto"/>
              <w:ind w:left="107" w:right="550"/>
              <w:rPr>
                <w:sz w:val="20"/>
                <w:lang w:val="en-US"/>
              </w:rPr>
            </w:pPr>
            <w:r w:rsidRPr="001227B6">
              <w:rPr>
                <w:sz w:val="20"/>
                <w:lang w:val="en-US"/>
              </w:rPr>
              <w:t xml:space="preserve">In accordance with clause 4 of </w:t>
            </w:r>
            <w:r w:rsidR="003D5103">
              <w:rPr>
                <w:sz w:val="20"/>
                <w:lang w:val="en-US"/>
              </w:rPr>
              <w:t>TS 21.20.23</w:t>
            </w:r>
            <w:r w:rsidRPr="001227B6">
              <w:rPr>
                <w:sz w:val="20"/>
                <w:lang w:val="en-US"/>
              </w:rPr>
              <w:t>-021-97638376-2020</w:t>
            </w:r>
          </w:p>
        </w:tc>
        <w:tc>
          <w:tcPr>
            <w:tcW w:w="1277" w:type="dxa"/>
          </w:tcPr>
          <w:p w14:paraId="233C94F5" w14:textId="77777777" w:rsidR="00AC43DA" w:rsidRDefault="00303B2C">
            <w:pPr>
              <w:pStyle w:val="TableParagraph"/>
              <w:spacing w:line="215" w:lineRule="exact"/>
              <w:ind w:left="253"/>
              <w:rPr>
                <w:sz w:val="20"/>
              </w:rPr>
            </w:pPr>
            <w:r>
              <w:rPr>
                <w:sz w:val="20"/>
              </w:rPr>
              <w:t>Section 7</w:t>
            </w:r>
          </w:p>
          <w:p w14:paraId="662B52BE" w14:textId="77777777" w:rsidR="00AC43DA" w:rsidRDefault="00303B2C">
            <w:pPr>
              <w:pStyle w:val="TableParagraph"/>
              <w:spacing w:line="223" w:lineRule="exact"/>
              <w:ind w:left="191"/>
              <w:rPr>
                <w:sz w:val="20"/>
              </w:rPr>
            </w:pPr>
            <w:r>
              <w:rPr>
                <w:sz w:val="20"/>
              </w:rPr>
              <w:t>paragraph 7</w:t>
            </w:r>
            <w:r>
              <w:rPr>
                <w:color w:val="000009"/>
                <w:sz w:val="20"/>
              </w:rPr>
              <w:t>.12</w:t>
            </w:r>
          </w:p>
        </w:tc>
      </w:tr>
      <w:tr w:rsidR="00AC43DA" w14:paraId="1AA8993B" w14:textId="77777777">
        <w:trPr>
          <w:trHeight w:val="460"/>
        </w:trPr>
        <w:tc>
          <w:tcPr>
            <w:tcW w:w="1986" w:type="dxa"/>
          </w:tcPr>
          <w:p w14:paraId="00F20D88" w14:textId="77777777" w:rsidR="00AC43DA" w:rsidRDefault="00303B2C">
            <w:pPr>
              <w:pStyle w:val="TableParagraph"/>
              <w:spacing w:before="108"/>
              <w:ind w:left="107"/>
              <w:rPr>
                <w:sz w:val="20"/>
              </w:rPr>
            </w:pPr>
            <w:r>
              <w:rPr>
                <w:sz w:val="20"/>
              </w:rPr>
              <w:t>1.4. Package</w:t>
            </w:r>
          </w:p>
        </w:tc>
        <w:tc>
          <w:tcPr>
            <w:tcW w:w="3973" w:type="dxa"/>
          </w:tcPr>
          <w:p w14:paraId="60FDDE24" w14:textId="3828D7EF" w:rsidR="00AC43DA" w:rsidRPr="001227B6" w:rsidRDefault="00303B2C">
            <w:pPr>
              <w:pStyle w:val="TableParagraph"/>
              <w:spacing w:before="2" w:line="228" w:lineRule="auto"/>
              <w:ind w:left="107" w:right="550"/>
              <w:rPr>
                <w:sz w:val="20"/>
                <w:lang w:val="en-US"/>
              </w:rPr>
            </w:pPr>
            <w:r w:rsidRPr="001227B6">
              <w:rPr>
                <w:sz w:val="20"/>
                <w:lang w:val="en-US"/>
              </w:rPr>
              <w:t xml:space="preserve">In accordance with clause 5 of </w:t>
            </w:r>
            <w:r w:rsidR="003D5103">
              <w:rPr>
                <w:sz w:val="20"/>
                <w:lang w:val="en-US"/>
              </w:rPr>
              <w:t>TS 21.20.23</w:t>
            </w:r>
            <w:r w:rsidRPr="001227B6">
              <w:rPr>
                <w:sz w:val="20"/>
                <w:lang w:val="en-US"/>
              </w:rPr>
              <w:t>-021-97638376-2020</w:t>
            </w:r>
          </w:p>
        </w:tc>
        <w:tc>
          <w:tcPr>
            <w:tcW w:w="1277" w:type="dxa"/>
          </w:tcPr>
          <w:p w14:paraId="063FECB7" w14:textId="77777777" w:rsidR="00AC43DA" w:rsidRDefault="00303B2C">
            <w:pPr>
              <w:pStyle w:val="TableParagraph"/>
              <w:spacing w:line="217" w:lineRule="exact"/>
              <w:ind w:left="253"/>
              <w:rPr>
                <w:sz w:val="20"/>
              </w:rPr>
            </w:pPr>
            <w:r>
              <w:rPr>
                <w:sz w:val="20"/>
              </w:rPr>
              <w:t>Section 7</w:t>
            </w:r>
          </w:p>
          <w:p w14:paraId="5D68DB0E" w14:textId="77777777" w:rsidR="00AC43DA" w:rsidRDefault="00303B2C">
            <w:pPr>
              <w:pStyle w:val="TableParagraph"/>
              <w:spacing w:line="223" w:lineRule="exact"/>
              <w:ind w:left="191"/>
              <w:rPr>
                <w:sz w:val="20"/>
              </w:rPr>
            </w:pPr>
            <w:r>
              <w:rPr>
                <w:sz w:val="20"/>
              </w:rPr>
              <w:t>paragraph 7</w:t>
            </w:r>
            <w:r>
              <w:rPr>
                <w:color w:val="000009"/>
                <w:sz w:val="20"/>
              </w:rPr>
              <w:t>.12</w:t>
            </w:r>
          </w:p>
        </w:tc>
      </w:tr>
      <w:tr w:rsidR="00AC43DA" w14:paraId="35055C4A" w14:textId="77777777">
        <w:trPr>
          <w:trHeight w:val="230"/>
        </w:trPr>
        <w:tc>
          <w:tcPr>
            <w:tcW w:w="5959" w:type="dxa"/>
            <w:gridSpan w:val="2"/>
          </w:tcPr>
          <w:p w14:paraId="510B2A8C" w14:textId="77777777" w:rsidR="00AC43DA" w:rsidRDefault="00303B2C">
            <w:pPr>
              <w:pStyle w:val="TableParagraph"/>
              <w:spacing w:line="210" w:lineRule="exact"/>
              <w:ind w:left="1305"/>
              <w:rPr>
                <w:b/>
                <w:sz w:val="20"/>
              </w:rPr>
            </w:pPr>
            <w:r>
              <w:rPr>
                <w:b/>
                <w:sz w:val="20"/>
              </w:rPr>
              <w:t>2. Functional characteristics</w:t>
            </w:r>
          </w:p>
        </w:tc>
        <w:tc>
          <w:tcPr>
            <w:tcW w:w="1277" w:type="dxa"/>
          </w:tcPr>
          <w:p w14:paraId="346C2CF4" w14:textId="77777777" w:rsidR="00AC43DA" w:rsidRDefault="00AC43DA">
            <w:pPr>
              <w:pStyle w:val="TableParagraph"/>
              <w:ind w:left="0"/>
              <w:rPr>
                <w:sz w:val="16"/>
              </w:rPr>
            </w:pPr>
          </w:p>
        </w:tc>
      </w:tr>
      <w:tr w:rsidR="00AC43DA" w14:paraId="1B7EE541" w14:textId="77777777">
        <w:trPr>
          <w:trHeight w:val="690"/>
        </w:trPr>
        <w:tc>
          <w:tcPr>
            <w:tcW w:w="1986" w:type="dxa"/>
          </w:tcPr>
          <w:p w14:paraId="29B25FF2" w14:textId="11AB43D3" w:rsidR="00AC43DA" w:rsidRDefault="00303B2C">
            <w:pPr>
              <w:pStyle w:val="TableParagraph"/>
              <w:spacing w:before="108"/>
              <w:ind w:left="107" w:right="147"/>
              <w:rPr>
                <w:sz w:val="20"/>
              </w:rPr>
            </w:pPr>
            <w:r>
              <w:rPr>
                <w:spacing w:val="-1"/>
                <w:sz w:val="20"/>
              </w:rPr>
              <w:t>2.1</w:t>
            </w:r>
            <w:r>
              <w:rPr>
                <w:sz w:val="20"/>
              </w:rPr>
              <w:t xml:space="preserve">Positive result with </w:t>
            </w:r>
            <w:r w:rsidR="002A5296">
              <w:rPr>
                <w:sz w:val="20"/>
              </w:rPr>
              <w:t>PCS</w:t>
            </w:r>
          </w:p>
        </w:tc>
        <w:tc>
          <w:tcPr>
            <w:tcW w:w="3973" w:type="dxa"/>
          </w:tcPr>
          <w:p w14:paraId="3B179152" w14:textId="77777777" w:rsidR="00AC43DA" w:rsidRPr="001227B6" w:rsidRDefault="00303B2C">
            <w:pPr>
              <w:pStyle w:val="TableParagraph"/>
              <w:spacing w:line="221" w:lineRule="exact"/>
              <w:ind w:left="107"/>
              <w:rPr>
                <w:sz w:val="20"/>
                <w:lang w:val="en-US"/>
              </w:rPr>
            </w:pPr>
            <w:r w:rsidRPr="001227B6">
              <w:rPr>
                <w:sz w:val="20"/>
                <w:lang w:val="en-US"/>
              </w:rPr>
              <w:t>Registration of fluorescence signal growth</w:t>
            </w:r>
          </w:p>
          <w:p w14:paraId="122EB86E" w14:textId="5A0CD6C1" w:rsidR="00AC43DA" w:rsidRPr="001227B6" w:rsidRDefault="00303B2C">
            <w:pPr>
              <w:pStyle w:val="TableParagraph"/>
              <w:spacing w:line="230" w:lineRule="atLeast"/>
              <w:ind w:left="107" w:right="107"/>
              <w:rPr>
                <w:sz w:val="20"/>
                <w:lang w:val="en-US"/>
              </w:rPr>
            </w:pPr>
            <w:r w:rsidRPr="001227B6">
              <w:rPr>
                <w:sz w:val="20"/>
                <w:lang w:val="en-US"/>
              </w:rPr>
              <w:t xml:space="preserve">in tubes with </w:t>
            </w:r>
            <w:r w:rsidR="002A5296">
              <w:rPr>
                <w:sz w:val="20"/>
                <w:lang w:val="en-US"/>
              </w:rPr>
              <w:t>PCS</w:t>
            </w:r>
            <w:r w:rsidRPr="001227B6">
              <w:rPr>
                <w:sz w:val="20"/>
                <w:lang w:val="en-US"/>
              </w:rPr>
              <w:t xml:space="preserve"> via FAM channels </w:t>
            </w:r>
            <w:r>
              <w:rPr>
                <w:sz w:val="20"/>
              </w:rPr>
              <w:t>С</w:t>
            </w:r>
            <w:r w:rsidRPr="001227B6">
              <w:rPr>
                <w:sz w:val="20"/>
                <w:lang w:val="en-US"/>
              </w:rPr>
              <w:t xml:space="preserve">t≤25, HEX </w:t>
            </w:r>
            <w:r>
              <w:rPr>
                <w:sz w:val="20"/>
              </w:rPr>
              <w:t>С</w:t>
            </w:r>
            <w:r w:rsidRPr="001227B6">
              <w:rPr>
                <w:sz w:val="20"/>
                <w:lang w:val="en-US"/>
              </w:rPr>
              <w:t xml:space="preserve">t≤25, ROX </w:t>
            </w:r>
            <w:r>
              <w:rPr>
                <w:sz w:val="20"/>
              </w:rPr>
              <w:t>С</w:t>
            </w:r>
            <w:r w:rsidRPr="001227B6">
              <w:rPr>
                <w:sz w:val="20"/>
                <w:lang w:val="en-US"/>
              </w:rPr>
              <w:t xml:space="preserve">t ≤25 and Cy5 </w:t>
            </w:r>
            <w:r>
              <w:rPr>
                <w:sz w:val="20"/>
              </w:rPr>
              <w:t>С</w:t>
            </w:r>
            <w:r w:rsidRPr="001227B6">
              <w:rPr>
                <w:sz w:val="20"/>
                <w:lang w:val="en-US"/>
              </w:rPr>
              <w:t>t ≤25.</w:t>
            </w:r>
          </w:p>
        </w:tc>
        <w:tc>
          <w:tcPr>
            <w:tcW w:w="1277" w:type="dxa"/>
          </w:tcPr>
          <w:p w14:paraId="25660BEF" w14:textId="77777777" w:rsidR="00AC43DA" w:rsidRDefault="00303B2C">
            <w:pPr>
              <w:pStyle w:val="TableParagraph"/>
              <w:spacing w:line="221" w:lineRule="exact"/>
              <w:ind w:left="253"/>
              <w:rPr>
                <w:sz w:val="20"/>
              </w:rPr>
            </w:pPr>
            <w:r>
              <w:rPr>
                <w:sz w:val="20"/>
              </w:rPr>
              <w:t>Section 7</w:t>
            </w:r>
          </w:p>
          <w:p w14:paraId="56E49D99" w14:textId="77777777" w:rsidR="00AC43DA" w:rsidRDefault="00303B2C">
            <w:pPr>
              <w:pStyle w:val="TableParagraph"/>
              <w:spacing w:before="3"/>
              <w:ind w:left="165"/>
              <w:rPr>
                <w:sz w:val="20"/>
              </w:rPr>
            </w:pPr>
            <w:r>
              <w:rPr>
                <w:sz w:val="20"/>
              </w:rPr>
              <w:t>clause 7.8.2</w:t>
            </w:r>
          </w:p>
        </w:tc>
      </w:tr>
      <w:tr w:rsidR="00AC43DA" w14:paraId="687E1DEF" w14:textId="77777777">
        <w:trPr>
          <w:trHeight w:val="917"/>
        </w:trPr>
        <w:tc>
          <w:tcPr>
            <w:tcW w:w="1986" w:type="dxa"/>
          </w:tcPr>
          <w:p w14:paraId="6E2DACF3" w14:textId="77777777" w:rsidR="00AC43DA" w:rsidRDefault="00AC43DA">
            <w:pPr>
              <w:pStyle w:val="TableParagraph"/>
              <w:spacing w:before="5"/>
              <w:ind w:left="0"/>
              <w:rPr>
                <w:sz w:val="19"/>
              </w:rPr>
            </w:pPr>
          </w:p>
          <w:p w14:paraId="6950EB46" w14:textId="0F4513AF" w:rsidR="00AC43DA" w:rsidRDefault="00303B2C">
            <w:pPr>
              <w:pStyle w:val="TableParagraph"/>
              <w:ind w:left="107" w:right="198"/>
              <w:rPr>
                <w:sz w:val="20"/>
              </w:rPr>
            </w:pPr>
            <w:r>
              <w:rPr>
                <w:sz w:val="20"/>
              </w:rPr>
              <w:t xml:space="preserve">2.2 Negative result with </w:t>
            </w:r>
            <w:r w:rsidR="002A5296">
              <w:rPr>
                <w:sz w:val="20"/>
              </w:rPr>
              <w:t>NCS</w:t>
            </w:r>
          </w:p>
        </w:tc>
        <w:tc>
          <w:tcPr>
            <w:tcW w:w="3973" w:type="dxa"/>
          </w:tcPr>
          <w:p w14:paraId="605EC627" w14:textId="6A41B5C5" w:rsidR="00AC43DA" w:rsidRPr="001227B6" w:rsidRDefault="001A1BC3">
            <w:pPr>
              <w:pStyle w:val="TableParagraph"/>
              <w:spacing w:line="228" w:lineRule="exact"/>
              <w:ind w:left="107" w:right="363"/>
              <w:rPr>
                <w:sz w:val="20"/>
                <w:lang w:val="en-US"/>
              </w:rPr>
            </w:pPr>
            <w:r w:rsidRPr="001227B6">
              <w:rPr>
                <w:sz w:val="20"/>
                <w:lang w:val="en-US"/>
              </w:rPr>
              <w:t xml:space="preserve">In test tubes with </w:t>
            </w:r>
            <w:r w:rsidR="002A5296">
              <w:rPr>
                <w:sz w:val="20"/>
                <w:lang w:val="en-US"/>
              </w:rPr>
              <w:t>NCS</w:t>
            </w:r>
            <w:r w:rsidRPr="001227B6">
              <w:rPr>
                <w:sz w:val="20"/>
                <w:lang w:val="en-US"/>
              </w:rPr>
              <w:t>, Ct is not indicated for the FAM, HEX, ROX and Cy5 channels (that is, there is no fluorescence accumulation graph)</w:t>
            </w:r>
          </w:p>
        </w:tc>
        <w:tc>
          <w:tcPr>
            <w:tcW w:w="1277" w:type="dxa"/>
          </w:tcPr>
          <w:p w14:paraId="2EE4AB53" w14:textId="77777777" w:rsidR="00AC43DA" w:rsidRDefault="00303B2C">
            <w:pPr>
              <w:pStyle w:val="TableParagraph"/>
              <w:spacing w:line="221" w:lineRule="exact"/>
              <w:ind w:left="253"/>
              <w:rPr>
                <w:sz w:val="20"/>
              </w:rPr>
            </w:pPr>
            <w:r>
              <w:rPr>
                <w:sz w:val="20"/>
              </w:rPr>
              <w:t>Section 7</w:t>
            </w:r>
          </w:p>
          <w:p w14:paraId="158D4AE0" w14:textId="77777777" w:rsidR="00AC43DA" w:rsidRDefault="00303B2C">
            <w:pPr>
              <w:pStyle w:val="TableParagraph"/>
              <w:ind w:left="165"/>
              <w:rPr>
                <w:sz w:val="20"/>
              </w:rPr>
            </w:pPr>
            <w:r>
              <w:rPr>
                <w:sz w:val="20"/>
              </w:rPr>
              <w:t>clause 7.8.2</w:t>
            </w:r>
          </w:p>
        </w:tc>
      </w:tr>
      <w:tr w:rsidR="00AC43DA" w14:paraId="3165291B" w14:textId="77777777">
        <w:trPr>
          <w:trHeight w:val="921"/>
        </w:trPr>
        <w:tc>
          <w:tcPr>
            <w:tcW w:w="1986" w:type="dxa"/>
          </w:tcPr>
          <w:p w14:paraId="7F7AC70C" w14:textId="68877CBE" w:rsidR="00AC43DA" w:rsidRPr="001227B6" w:rsidRDefault="00303B2C">
            <w:pPr>
              <w:pStyle w:val="TableParagraph"/>
              <w:spacing w:before="1"/>
              <w:ind w:left="107"/>
              <w:rPr>
                <w:sz w:val="20"/>
                <w:lang w:val="en-US"/>
              </w:rPr>
            </w:pPr>
            <w:r w:rsidRPr="001227B6">
              <w:rPr>
                <w:spacing w:val="-2"/>
                <w:sz w:val="20"/>
                <w:lang w:val="en-US"/>
              </w:rPr>
              <w:t xml:space="preserve">2.3 </w:t>
            </w:r>
            <w:r w:rsidR="002A5296" w:rsidRPr="002A5296">
              <w:rPr>
                <w:color w:val="000000"/>
                <w:sz w:val="20"/>
                <w:szCs w:val="20"/>
                <w:lang w:val="en-US"/>
              </w:rPr>
              <w:t xml:space="preserve">Reaction in test tubes with </w:t>
            </w:r>
            <w:r w:rsidR="008F55B0">
              <w:rPr>
                <w:sz w:val="20"/>
                <w:lang w:val="en-US"/>
              </w:rPr>
              <w:t>SBS</w:t>
            </w:r>
          </w:p>
        </w:tc>
        <w:tc>
          <w:tcPr>
            <w:tcW w:w="3973" w:type="dxa"/>
          </w:tcPr>
          <w:p w14:paraId="243305BB" w14:textId="3D36FD2F" w:rsidR="00AC43DA" w:rsidRPr="001227B6" w:rsidRDefault="00303B2C">
            <w:pPr>
              <w:pStyle w:val="TableParagraph"/>
              <w:spacing w:line="221" w:lineRule="exact"/>
              <w:ind w:left="107"/>
              <w:rPr>
                <w:sz w:val="20"/>
                <w:lang w:val="en-US"/>
              </w:rPr>
            </w:pPr>
            <w:r w:rsidRPr="001227B6">
              <w:rPr>
                <w:sz w:val="20"/>
                <w:lang w:val="en-US"/>
              </w:rPr>
              <w:t xml:space="preserve">In test tubes with </w:t>
            </w:r>
            <w:r w:rsidR="008F55B0">
              <w:rPr>
                <w:sz w:val="20"/>
                <w:lang w:val="en-US"/>
              </w:rPr>
              <w:t>SBS</w:t>
            </w:r>
            <w:r w:rsidRPr="001227B6">
              <w:rPr>
                <w:sz w:val="20"/>
                <w:lang w:val="en-US"/>
              </w:rPr>
              <w:t xml:space="preserve"> Ct through FAM channels,</w:t>
            </w:r>
          </w:p>
          <w:p w14:paraId="546F9FD7" w14:textId="77777777" w:rsidR="00AC43DA" w:rsidRPr="001227B6" w:rsidRDefault="00303B2C">
            <w:pPr>
              <w:pStyle w:val="TableParagraph"/>
              <w:spacing w:before="3"/>
              <w:ind w:left="107"/>
              <w:rPr>
                <w:sz w:val="20"/>
                <w:lang w:val="en-US"/>
              </w:rPr>
            </w:pPr>
            <w:r w:rsidRPr="001227B6">
              <w:rPr>
                <w:sz w:val="20"/>
                <w:lang w:val="en-US"/>
              </w:rPr>
              <w:t>ROX and Cy5 are not specified (that is, the schedule</w:t>
            </w:r>
          </w:p>
          <w:p w14:paraId="5953CAD4" w14:textId="77777777" w:rsidR="00AC43DA" w:rsidRPr="001227B6" w:rsidRDefault="00303B2C">
            <w:pPr>
              <w:pStyle w:val="TableParagraph"/>
              <w:spacing w:line="230" w:lineRule="atLeast"/>
              <w:ind w:left="107" w:right="171"/>
              <w:rPr>
                <w:sz w:val="20"/>
                <w:lang w:val="en-US"/>
              </w:rPr>
            </w:pPr>
            <w:r w:rsidRPr="001227B6">
              <w:rPr>
                <w:sz w:val="20"/>
                <w:lang w:val="en-US"/>
              </w:rPr>
              <w:t xml:space="preserve">there is no accumulation of fluorescence), </w:t>
            </w:r>
            <w:r w:rsidRPr="001227B6">
              <w:rPr>
                <w:sz w:val="20"/>
                <w:lang w:val="en-US"/>
              </w:rPr>
              <w:lastRenderedPageBreak/>
              <w:t>and through the HEX channel Ct≤32.</w:t>
            </w:r>
          </w:p>
        </w:tc>
        <w:tc>
          <w:tcPr>
            <w:tcW w:w="1277" w:type="dxa"/>
          </w:tcPr>
          <w:p w14:paraId="7E990B0B" w14:textId="77777777" w:rsidR="00AC43DA" w:rsidRDefault="00303B2C">
            <w:pPr>
              <w:pStyle w:val="TableParagraph"/>
              <w:spacing w:line="221" w:lineRule="exact"/>
              <w:ind w:left="253"/>
              <w:rPr>
                <w:sz w:val="20"/>
              </w:rPr>
            </w:pPr>
            <w:r>
              <w:rPr>
                <w:sz w:val="20"/>
              </w:rPr>
              <w:lastRenderedPageBreak/>
              <w:t>Section 7</w:t>
            </w:r>
          </w:p>
          <w:p w14:paraId="504991A4" w14:textId="77777777" w:rsidR="00AC43DA" w:rsidRDefault="00303B2C">
            <w:pPr>
              <w:pStyle w:val="TableParagraph"/>
              <w:spacing w:before="3"/>
              <w:ind w:left="165"/>
              <w:rPr>
                <w:sz w:val="20"/>
              </w:rPr>
            </w:pPr>
            <w:r>
              <w:rPr>
                <w:sz w:val="20"/>
              </w:rPr>
              <w:t>clause 7.8.2</w:t>
            </w:r>
          </w:p>
        </w:tc>
      </w:tr>
      <w:tr w:rsidR="00AC43DA" w14:paraId="6AE2C21C" w14:textId="77777777">
        <w:trPr>
          <w:trHeight w:val="690"/>
        </w:trPr>
        <w:tc>
          <w:tcPr>
            <w:tcW w:w="1986" w:type="dxa"/>
          </w:tcPr>
          <w:p w14:paraId="7D755C74" w14:textId="5456BBBC" w:rsidR="00AC43DA" w:rsidRPr="001227B6" w:rsidRDefault="00303B2C">
            <w:pPr>
              <w:pStyle w:val="TableParagraph"/>
              <w:spacing w:line="210" w:lineRule="exact"/>
              <w:ind w:left="107"/>
              <w:rPr>
                <w:sz w:val="20"/>
                <w:lang w:val="en-US"/>
              </w:rPr>
            </w:pPr>
            <w:r w:rsidRPr="001227B6">
              <w:rPr>
                <w:spacing w:val="-2"/>
                <w:sz w:val="20"/>
                <w:lang w:val="en-US"/>
              </w:rPr>
              <w:t xml:space="preserve">2.4 </w:t>
            </w:r>
            <w:r w:rsidR="002A5296" w:rsidRPr="002A5296">
              <w:rPr>
                <w:color w:val="000000"/>
                <w:sz w:val="20"/>
                <w:szCs w:val="20"/>
                <w:lang w:val="en-US"/>
              </w:rPr>
              <w:t xml:space="preserve">Reaction in test tubes with </w:t>
            </w:r>
            <w:r w:rsidR="002A5296">
              <w:rPr>
                <w:sz w:val="20"/>
                <w:lang w:val="en-US"/>
              </w:rPr>
              <w:t>CSS</w:t>
            </w:r>
          </w:p>
        </w:tc>
        <w:tc>
          <w:tcPr>
            <w:tcW w:w="3973" w:type="dxa"/>
          </w:tcPr>
          <w:p w14:paraId="1A68BF6F" w14:textId="53F11DCD" w:rsidR="00AC43DA" w:rsidRPr="001227B6" w:rsidRDefault="00303B2C">
            <w:pPr>
              <w:pStyle w:val="TableParagraph"/>
              <w:spacing w:line="221" w:lineRule="exact"/>
              <w:ind w:left="107"/>
              <w:rPr>
                <w:sz w:val="20"/>
                <w:lang w:val="en-US"/>
              </w:rPr>
            </w:pPr>
            <w:r w:rsidRPr="001227B6">
              <w:rPr>
                <w:sz w:val="20"/>
                <w:lang w:val="en-US"/>
              </w:rPr>
              <w:t xml:space="preserve">In test tubes with </w:t>
            </w:r>
            <w:r w:rsidR="002A5296">
              <w:rPr>
                <w:sz w:val="20"/>
                <w:lang w:val="en-US"/>
              </w:rPr>
              <w:t>CSS</w:t>
            </w:r>
            <w:r w:rsidRPr="001227B6">
              <w:rPr>
                <w:sz w:val="20"/>
                <w:lang w:val="en-US"/>
              </w:rPr>
              <w:t xml:space="preserve"> via FAM, ROX channels</w:t>
            </w:r>
          </w:p>
          <w:p w14:paraId="3F84D160" w14:textId="77777777" w:rsidR="00AC43DA" w:rsidRPr="001227B6" w:rsidRDefault="00303B2C">
            <w:pPr>
              <w:pStyle w:val="TableParagraph"/>
              <w:spacing w:line="230" w:lineRule="atLeast"/>
              <w:ind w:left="107" w:right="188"/>
              <w:rPr>
                <w:sz w:val="20"/>
                <w:lang w:val="en-US"/>
              </w:rPr>
            </w:pPr>
            <w:r w:rsidRPr="001227B6">
              <w:rPr>
                <w:sz w:val="20"/>
                <w:lang w:val="en-US"/>
              </w:rPr>
              <w:t>and Cy5 in all repeats (at least 4) Ct≤35, and in the HEX channel Ct≤32.</w:t>
            </w:r>
          </w:p>
        </w:tc>
        <w:tc>
          <w:tcPr>
            <w:tcW w:w="1277" w:type="dxa"/>
          </w:tcPr>
          <w:p w14:paraId="656137B9" w14:textId="77777777" w:rsidR="00AC43DA" w:rsidRDefault="00303B2C">
            <w:pPr>
              <w:pStyle w:val="TableParagraph"/>
              <w:spacing w:line="221" w:lineRule="exact"/>
              <w:ind w:left="253"/>
              <w:rPr>
                <w:sz w:val="20"/>
              </w:rPr>
            </w:pPr>
            <w:r>
              <w:rPr>
                <w:sz w:val="20"/>
              </w:rPr>
              <w:t>Section 7</w:t>
            </w:r>
          </w:p>
          <w:p w14:paraId="5DA3AAF8" w14:textId="77777777" w:rsidR="00AC43DA" w:rsidRDefault="00303B2C">
            <w:pPr>
              <w:pStyle w:val="TableParagraph"/>
              <w:spacing w:before="3"/>
              <w:ind w:left="165"/>
              <w:rPr>
                <w:sz w:val="20"/>
              </w:rPr>
            </w:pPr>
            <w:r>
              <w:rPr>
                <w:sz w:val="20"/>
              </w:rPr>
              <w:t>clause 7.8.2</w:t>
            </w:r>
          </w:p>
        </w:tc>
      </w:tr>
    </w:tbl>
    <w:p w14:paraId="183D9A18" w14:textId="503D46EE" w:rsidR="00AC43DA" w:rsidRPr="001227B6" w:rsidRDefault="00303B2C">
      <w:pPr>
        <w:ind w:left="328" w:firstLine="564"/>
        <w:rPr>
          <w:lang w:val="en-US"/>
        </w:rPr>
      </w:pPr>
      <w:r w:rsidRPr="001227B6">
        <w:rPr>
          <w:lang w:val="en-US"/>
        </w:rPr>
        <w:t xml:space="preserve">Note: When carrying out control PCR, the following are used as </w:t>
      </w:r>
      <w:r w:rsidR="002A5296">
        <w:rPr>
          <w:lang w:val="en-US"/>
        </w:rPr>
        <w:t>CSS</w:t>
      </w:r>
      <w:r w:rsidRPr="001227B6">
        <w:rPr>
          <w:lang w:val="en-US"/>
        </w:rPr>
        <w:t xml:space="preserve"> and </w:t>
      </w:r>
      <w:r w:rsidR="008F55B0">
        <w:rPr>
          <w:lang w:val="en-US"/>
        </w:rPr>
        <w:t>SBS</w:t>
      </w:r>
      <w:r w:rsidRPr="001227B6">
        <w:rPr>
          <w:lang w:val="en-US"/>
        </w:rPr>
        <w:t>:</w:t>
      </w:r>
    </w:p>
    <w:p w14:paraId="5AB691E4" w14:textId="113ABFEC" w:rsidR="00AC43DA" w:rsidRPr="008F55B0" w:rsidRDefault="00303B2C" w:rsidP="008F55B0">
      <w:pPr>
        <w:pStyle w:val="a6"/>
        <w:numPr>
          <w:ilvl w:val="0"/>
          <w:numId w:val="21"/>
        </w:numPr>
        <w:tabs>
          <w:tab w:val="left" w:pos="1037"/>
        </w:tabs>
        <w:ind w:right="373" w:firstLine="564"/>
        <w:jc w:val="left"/>
        <w:rPr>
          <w:lang w:val="en-US"/>
        </w:rPr>
      </w:pPr>
      <w:r w:rsidRPr="001227B6">
        <w:rPr>
          <w:lang w:val="en-US"/>
        </w:rPr>
        <w:t xml:space="preserve">The </w:t>
      </w:r>
      <w:r w:rsidR="008F55B0" w:rsidRPr="008F55B0">
        <w:rPr>
          <w:lang w:val="en-US"/>
        </w:rPr>
        <w:t>control sensitivity sample</w:t>
      </w:r>
      <w:r w:rsidRPr="001227B6">
        <w:rPr>
          <w:lang w:val="en-US"/>
        </w:rPr>
        <w:t>-B (</w:t>
      </w:r>
      <w:r w:rsidR="008F55B0">
        <w:rPr>
          <w:lang w:val="en-US"/>
        </w:rPr>
        <w:t>CSS</w:t>
      </w:r>
      <w:r w:rsidRPr="001227B6">
        <w:rPr>
          <w:lang w:val="en-US"/>
        </w:rPr>
        <w:t>-B) is a mixture of plasmids with synthetic inserts</w:t>
      </w:r>
      <w:r w:rsidR="008F55B0">
        <w:rPr>
          <w:lang w:val="en-US"/>
        </w:rPr>
        <w:t xml:space="preserve"> </w:t>
      </w:r>
      <w:r w:rsidRPr="008F55B0">
        <w:rPr>
          <w:lang w:val="en-US"/>
        </w:rPr>
        <w:t>fragment of genomic DNA of the hepatitis B virus with a concentration of 250 copies/ml in TE buffer (10 mM Tris, 1 mM EDTA).</w:t>
      </w:r>
    </w:p>
    <w:p w14:paraId="2907B33E" w14:textId="6BDF5BDC" w:rsidR="00AC43DA" w:rsidRPr="001227B6" w:rsidRDefault="00303B2C">
      <w:pPr>
        <w:pStyle w:val="a6"/>
        <w:numPr>
          <w:ilvl w:val="0"/>
          <w:numId w:val="21"/>
        </w:numPr>
        <w:tabs>
          <w:tab w:val="left" w:pos="1037"/>
        </w:tabs>
        <w:ind w:right="341" w:firstLine="564"/>
        <w:rPr>
          <w:lang w:val="en-US"/>
        </w:rPr>
      </w:pPr>
      <w:r w:rsidRPr="001227B6">
        <w:rPr>
          <w:lang w:val="en-US"/>
        </w:rPr>
        <w:t xml:space="preserve">The </w:t>
      </w:r>
      <w:r w:rsidR="008F55B0" w:rsidRPr="008F55B0">
        <w:rPr>
          <w:lang w:val="en-US"/>
        </w:rPr>
        <w:t>control sensitivity sample</w:t>
      </w:r>
      <w:r w:rsidRPr="001227B6">
        <w:rPr>
          <w:lang w:val="en-US"/>
        </w:rPr>
        <w:t>-C (C</w:t>
      </w:r>
      <w:r w:rsidR="008F55B0">
        <w:rPr>
          <w:lang w:val="en-US"/>
        </w:rPr>
        <w:t>S</w:t>
      </w:r>
      <w:r w:rsidRPr="001227B6">
        <w:rPr>
          <w:lang w:val="en-US"/>
        </w:rPr>
        <w:t>S-C) is a mixture of plasmids with synthetic inserts of a fragment of the genomic cDNA of the hepatitis C virus (HCV_1pos) with a concentration of 250 copies/ml in TE buffer (10 mM Tris, 1 mM EDTA).</w:t>
      </w:r>
    </w:p>
    <w:p w14:paraId="27741C14" w14:textId="48CF2311" w:rsidR="00AC43DA" w:rsidRPr="001227B6" w:rsidRDefault="00303B2C">
      <w:pPr>
        <w:pStyle w:val="a6"/>
        <w:numPr>
          <w:ilvl w:val="0"/>
          <w:numId w:val="21"/>
        </w:numPr>
        <w:tabs>
          <w:tab w:val="left" w:pos="1037"/>
        </w:tabs>
        <w:spacing w:before="1"/>
        <w:ind w:right="339" w:firstLine="564"/>
        <w:rPr>
          <w:lang w:val="en-US"/>
        </w:rPr>
      </w:pPr>
      <w:r w:rsidRPr="001227B6">
        <w:rPr>
          <w:lang w:val="en-US"/>
        </w:rPr>
        <w:t xml:space="preserve">The </w:t>
      </w:r>
      <w:r w:rsidR="008F55B0" w:rsidRPr="008F55B0">
        <w:rPr>
          <w:lang w:val="en-US"/>
        </w:rPr>
        <w:t>control sensitivity sample</w:t>
      </w:r>
      <w:r w:rsidRPr="001227B6">
        <w:rPr>
          <w:lang w:val="en-US"/>
        </w:rPr>
        <w:t>-D (CS</w:t>
      </w:r>
      <w:r w:rsidR="008F55B0">
        <w:rPr>
          <w:lang w:val="en-US"/>
        </w:rPr>
        <w:t>S</w:t>
      </w:r>
      <w:r w:rsidRPr="001227B6">
        <w:rPr>
          <w:lang w:val="en-US"/>
        </w:rPr>
        <w:t>-D) is a mixture of plasmids with synthetic inserts of a fragment of the genomic cDNA of the hepatitis D virus (HDV_pos) with a concentration of 250 copies/ml in TE buffer (10 mM Tris, 1 mM EDTA).</w:t>
      </w:r>
    </w:p>
    <w:p w14:paraId="2C65FAD7" w14:textId="77777777" w:rsidR="00AC43DA" w:rsidRPr="001227B6" w:rsidRDefault="00303B2C">
      <w:pPr>
        <w:pStyle w:val="a6"/>
        <w:numPr>
          <w:ilvl w:val="0"/>
          <w:numId w:val="21"/>
        </w:numPr>
        <w:tabs>
          <w:tab w:val="left" w:pos="1109"/>
        </w:tabs>
        <w:ind w:right="345" w:firstLine="564"/>
        <w:rPr>
          <w:lang w:val="en-US"/>
        </w:rPr>
      </w:pPr>
      <w:r w:rsidRPr="001227B6">
        <w:rPr>
          <w:lang w:val="en-US"/>
        </w:rPr>
        <w:t xml:space="preserve">Specificity control sample (SCS), which is a solution of human genomic DNA isolated from the Jurkat cell line with a concentration of 2,000 copies per 5 </w:t>
      </w:r>
      <w:r>
        <w:t>μ</w:t>
      </w:r>
      <w:r w:rsidRPr="001227B6">
        <w:rPr>
          <w:lang w:val="en-US"/>
        </w:rPr>
        <w:t>l (400,000 copies/ml) in TE buffer (10 mM Tris, 1 mM EDTA).</w:t>
      </w:r>
    </w:p>
    <w:p w14:paraId="5F54E032" w14:textId="2267EED9" w:rsidR="00AC43DA" w:rsidRPr="001227B6" w:rsidRDefault="00303B2C">
      <w:pPr>
        <w:ind w:left="328" w:right="346" w:firstLine="564"/>
        <w:jc w:val="both"/>
        <w:rPr>
          <w:sz w:val="21"/>
          <w:lang w:val="en-US"/>
        </w:rPr>
      </w:pPr>
      <w:r w:rsidRPr="001227B6">
        <w:rPr>
          <w:lang w:val="en-US"/>
        </w:rPr>
        <w:t xml:space="preserve">Samples </w:t>
      </w:r>
      <w:r w:rsidR="005D71E3">
        <w:rPr>
          <w:lang w:val="en-US"/>
        </w:rPr>
        <w:t>CSS</w:t>
      </w:r>
      <w:r w:rsidRPr="001227B6">
        <w:rPr>
          <w:lang w:val="en-US"/>
        </w:rPr>
        <w:t xml:space="preserve">-B, </w:t>
      </w:r>
      <w:r w:rsidR="005D71E3">
        <w:rPr>
          <w:lang w:val="en-US"/>
        </w:rPr>
        <w:t>CSS</w:t>
      </w:r>
      <w:r w:rsidRPr="001227B6">
        <w:rPr>
          <w:lang w:val="en-US"/>
        </w:rPr>
        <w:t xml:space="preserve">-C, </w:t>
      </w:r>
      <w:r w:rsidR="005D71E3">
        <w:rPr>
          <w:lang w:val="en-US"/>
        </w:rPr>
        <w:t>CSS</w:t>
      </w:r>
      <w:r w:rsidRPr="001227B6">
        <w:rPr>
          <w:lang w:val="en-US"/>
        </w:rPr>
        <w:t xml:space="preserve">-D and KOS in a volume of 100 </w:t>
      </w:r>
      <w:r>
        <w:t>μ</w:t>
      </w:r>
      <w:r w:rsidRPr="001227B6">
        <w:rPr>
          <w:lang w:val="en-US"/>
        </w:rPr>
        <w:t xml:space="preserve">l undergo the stage of NC isolation with the addition of 10 </w:t>
      </w:r>
      <w:r>
        <w:t>μ</w:t>
      </w:r>
      <w:r w:rsidRPr="001227B6">
        <w:rPr>
          <w:lang w:val="en-US"/>
        </w:rPr>
        <w:t xml:space="preserve">l of </w:t>
      </w:r>
      <w:r w:rsidR="005D71E3">
        <w:rPr>
          <w:lang w:val="en-US"/>
        </w:rPr>
        <w:t>ICS</w:t>
      </w:r>
      <w:r w:rsidRPr="001227B6">
        <w:rPr>
          <w:lang w:val="en-US"/>
        </w:rPr>
        <w:t xml:space="preserve"> according to the instructions.</w:t>
      </w:r>
    </w:p>
    <w:p w14:paraId="5629D30D" w14:textId="77777777" w:rsidR="00AC43DA" w:rsidRPr="001227B6" w:rsidRDefault="00AC43DA">
      <w:pPr>
        <w:pStyle w:val="a3"/>
        <w:spacing w:before="2"/>
        <w:ind w:left="0" w:firstLine="0"/>
        <w:jc w:val="left"/>
        <w:rPr>
          <w:lang w:val="en-US"/>
        </w:rPr>
      </w:pPr>
    </w:p>
    <w:p w14:paraId="1D92815A" w14:textId="77777777" w:rsidR="00AC43DA" w:rsidRDefault="00303B2C">
      <w:pPr>
        <w:pStyle w:val="1"/>
        <w:numPr>
          <w:ilvl w:val="1"/>
          <w:numId w:val="20"/>
        </w:numPr>
        <w:tabs>
          <w:tab w:val="left" w:pos="1255"/>
        </w:tabs>
        <w:spacing w:before="1" w:line="274" w:lineRule="exact"/>
      </w:pPr>
      <w:r>
        <w:t>Analytical performance characteristics</w:t>
      </w:r>
    </w:p>
    <w:p w14:paraId="18791531" w14:textId="77777777" w:rsidR="00AC43DA" w:rsidRDefault="00303B2C">
      <w:pPr>
        <w:pStyle w:val="a6"/>
        <w:numPr>
          <w:ilvl w:val="2"/>
          <w:numId w:val="20"/>
        </w:numPr>
        <w:tabs>
          <w:tab w:val="left" w:pos="1435"/>
        </w:tabs>
        <w:spacing w:line="274" w:lineRule="exact"/>
        <w:rPr>
          <w:b/>
          <w:sz w:val="24"/>
        </w:rPr>
      </w:pPr>
      <w:r>
        <w:rPr>
          <w:b/>
          <w:sz w:val="24"/>
        </w:rPr>
        <w:t>Analytical Specificity</w:t>
      </w:r>
    </w:p>
    <w:p w14:paraId="782EB4D1" w14:textId="77777777" w:rsidR="00AC43DA" w:rsidRPr="001227B6" w:rsidRDefault="00303B2C">
      <w:pPr>
        <w:pStyle w:val="a3"/>
        <w:spacing w:before="5"/>
        <w:ind w:right="352"/>
        <w:rPr>
          <w:lang w:val="en-US"/>
        </w:rPr>
      </w:pPr>
      <w:r w:rsidRPr="001227B6">
        <w:rPr>
          <w:lang w:val="en-US"/>
        </w:rPr>
        <w:t>Specific to hepatitis B virus DNA and hepatitis C and D virus RNA.</w:t>
      </w:r>
    </w:p>
    <w:p w14:paraId="32DBA2B9" w14:textId="77777777" w:rsidR="00AC43DA" w:rsidRPr="001227B6" w:rsidRDefault="00303B2C">
      <w:pPr>
        <w:pStyle w:val="a3"/>
        <w:ind w:right="354"/>
        <w:rPr>
          <w:lang w:val="en-US"/>
        </w:rPr>
      </w:pPr>
      <w:r w:rsidRPr="001227B6">
        <w:rPr>
          <w:lang w:val="en-US"/>
        </w:rPr>
        <w:t>The possibility of detecting RNA of the hepatitis D virus and various genotypes of hepatitis B (A, B, C, D, E, F, G) and C (from 1a to 6) using standard NIBSC samples has been confirmed:</w:t>
      </w:r>
    </w:p>
    <w:p w14:paraId="2EFE6328" w14:textId="77777777" w:rsidR="00AC43DA" w:rsidRPr="001227B6" w:rsidRDefault="00303B2C">
      <w:pPr>
        <w:pStyle w:val="a6"/>
        <w:numPr>
          <w:ilvl w:val="0"/>
          <w:numId w:val="19"/>
        </w:numPr>
        <w:tabs>
          <w:tab w:val="left" w:pos="1121"/>
        </w:tabs>
        <w:ind w:right="341" w:firstLine="564"/>
        <w:rPr>
          <w:lang w:val="en-US"/>
        </w:rPr>
      </w:pPr>
      <w:r w:rsidRPr="001227B6">
        <w:rPr>
          <w:sz w:val="24"/>
          <w:lang w:val="en-US"/>
        </w:rPr>
        <w:t>International standard 1st WHO International Reference Panel for Hepatitis B Virus Genotypes for Nucleic Acid Amplification Techniques -Based Assays PEI code 5086/08, consisting of 15 samples of lyophilized HBV-positive plasma and covering the most common HBV genotypes: Samples 1–3 (genotype A) , Samples 4–6 (genotype B), Samples 7–9 (genotype C), samples 10–12 (genotype D), sample 13 (genotype E), sample 14 (genotype F) and sample 15 (genotype G).</w:t>
      </w:r>
    </w:p>
    <w:p w14:paraId="702EC81A" w14:textId="77777777" w:rsidR="00AC43DA" w:rsidRPr="002A70C2" w:rsidRDefault="00303B2C">
      <w:pPr>
        <w:pStyle w:val="a6"/>
        <w:numPr>
          <w:ilvl w:val="0"/>
          <w:numId w:val="19"/>
        </w:numPr>
        <w:tabs>
          <w:tab w:val="left" w:pos="1102"/>
        </w:tabs>
        <w:ind w:right="340" w:firstLine="564"/>
        <w:rPr>
          <w:sz w:val="24"/>
          <w:lang w:val="en-US"/>
        </w:rPr>
      </w:pPr>
      <w:r w:rsidRPr="002A70C2">
        <w:rPr>
          <w:sz w:val="24"/>
          <w:lang w:val="en-US"/>
        </w:rPr>
        <w:lastRenderedPageBreak/>
        <w:t>4th HCV RNA Genotype Panel for Nucleic Acid Amplification Techniques. NIBSC code: 14/290, consisting of seven bottles representing six main genotypes: bottle 14/276 – HCV genotype 1a, 14/278 – HCV genotype 1b, 14/280 – HCV genotype 2i, 14/282 – HCV genotype 3a, 14/284 – HCV4r genotype, 14/286 – HCV genotype 5a, 14/288 – 6l genotype.</w:t>
      </w:r>
    </w:p>
    <w:p w14:paraId="43E16225" w14:textId="77777777" w:rsidR="00AC43DA" w:rsidRPr="002A70C2" w:rsidRDefault="00303B2C">
      <w:pPr>
        <w:pStyle w:val="a6"/>
        <w:numPr>
          <w:ilvl w:val="0"/>
          <w:numId w:val="19"/>
        </w:numPr>
        <w:tabs>
          <w:tab w:val="left" w:pos="1179"/>
        </w:tabs>
        <w:spacing w:before="60"/>
        <w:ind w:right="349" w:firstLine="564"/>
        <w:rPr>
          <w:sz w:val="24"/>
          <w:lang w:val="en-US"/>
        </w:rPr>
      </w:pPr>
      <w:r w:rsidRPr="001227B6">
        <w:rPr>
          <w:sz w:val="24"/>
          <w:lang w:val="en-US"/>
        </w:rPr>
        <w:t>International standard 1st World Health Organization International Standard for Hepatitis D Virus RNA for Nucleic Acid Amplification Techniques (NAT)-Based Assays PEI code 7657/12, with a concentration of 575,000 IU/ml.</w:t>
      </w:r>
    </w:p>
    <w:p w14:paraId="387EFCA9" w14:textId="77777777" w:rsidR="00AC43DA" w:rsidRPr="001227B6" w:rsidRDefault="00303B2C">
      <w:pPr>
        <w:pStyle w:val="a3"/>
        <w:ind w:right="345"/>
        <w:rPr>
          <w:lang w:val="en-US"/>
        </w:rPr>
      </w:pPr>
      <w:r w:rsidRPr="001227B6">
        <w:rPr>
          <w:lang w:val="en-US"/>
        </w:rPr>
        <w:t>Based on the results of the study with standard NIBSC samples, the specificity of the “HEPA-BCD-test” reagent kit was confirmed in relation to the DNA of the hepatitis B virus (genotypes A, B, C, D, E, F, G) and the RNA of hepatitis C viruses (genotypes from 1a up to 6) and D.</w:t>
      </w:r>
    </w:p>
    <w:p w14:paraId="7AAFA35A" w14:textId="77777777" w:rsidR="00AC43DA" w:rsidRDefault="00303B2C">
      <w:pPr>
        <w:pStyle w:val="1"/>
        <w:numPr>
          <w:ilvl w:val="2"/>
          <w:numId w:val="20"/>
        </w:numPr>
        <w:tabs>
          <w:tab w:val="left" w:pos="1891"/>
        </w:tabs>
        <w:spacing w:before="5"/>
        <w:ind w:left="328" w:right="347" w:firstLine="564"/>
      </w:pPr>
      <w:r>
        <w:t>Analytical sensitivity (detection limit)</w:t>
      </w:r>
    </w:p>
    <w:p w14:paraId="3F1AAA3B" w14:textId="77777777" w:rsidR="00AC43DA" w:rsidRPr="001227B6" w:rsidRDefault="00303B2C">
      <w:pPr>
        <w:pStyle w:val="a3"/>
        <w:spacing w:before="1"/>
        <w:ind w:right="344"/>
        <w:rPr>
          <w:lang w:val="en-US"/>
        </w:rPr>
      </w:pPr>
      <w:r w:rsidRPr="001227B6">
        <w:rPr>
          <w:lang w:val="en-US"/>
        </w:rPr>
        <w:t>In accordance with GOST R 51352-2013 and taking into account international recommendations CLSI EP-17A2, the limit of detection (LOD) was determined by dilution analysis of WHO International Standards:</w:t>
      </w:r>
    </w:p>
    <w:p w14:paraId="7D01810E" w14:textId="77777777" w:rsidR="00AC43DA" w:rsidRPr="002A70C2" w:rsidRDefault="00303B2C">
      <w:pPr>
        <w:pStyle w:val="a6"/>
        <w:numPr>
          <w:ilvl w:val="0"/>
          <w:numId w:val="18"/>
        </w:numPr>
        <w:tabs>
          <w:tab w:val="left" w:pos="1234"/>
        </w:tabs>
        <w:ind w:right="351" w:firstLine="624"/>
        <w:rPr>
          <w:sz w:val="24"/>
          <w:lang w:val="en-US"/>
        </w:rPr>
      </w:pPr>
      <w:r w:rsidRPr="001227B6">
        <w:rPr>
          <w:sz w:val="24"/>
          <w:lang w:val="en-US"/>
        </w:rPr>
        <w:t>WHO International Standard 4th WHO International Standard for HBV DNA for NAT NIBSC code: 10/266, with a concentration of 955,000 IU/ml (~ 5.98 log10 IU/ml)</w:t>
      </w:r>
    </w:p>
    <w:p w14:paraId="3DC0FE4E" w14:textId="77777777" w:rsidR="00AC43DA" w:rsidRPr="002A70C2" w:rsidRDefault="00303B2C">
      <w:pPr>
        <w:pStyle w:val="a6"/>
        <w:numPr>
          <w:ilvl w:val="0"/>
          <w:numId w:val="18"/>
        </w:numPr>
        <w:tabs>
          <w:tab w:val="left" w:pos="1234"/>
        </w:tabs>
        <w:ind w:right="341" w:firstLine="624"/>
        <w:rPr>
          <w:sz w:val="24"/>
          <w:lang w:val="en-US"/>
        </w:rPr>
      </w:pPr>
      <w:r w:rsidRPr="001227B6">
        <w:rPr>
          <w:sz w:val="24"/>
          <w:lang w:val="en-US"/>
        </w:rPr>
        <w:t>International Standard WHO International Standard 6th WHO International Standard for hepatitis C virus RNA for nucleic acid amplification techniques NIBSC code: 18/184, with a concentration of 257,000 IU/tube (~ 5.41 log10 IU/tube)</w:t>
      </w:r>
    </w:p>
    <w:p w14:paraId="2FE8D8DE" w14:textId="77777777" w:rsidR="00AC43DA" w:rsidRPr="002A70C2" w:rsidRDefault="00303B2C">
      <w:pPr>
        <w:pStyle w:val="a6"/>
        <w:numPr>
          <w:ilvl w:val="0"/>
          <w:numId w:val="18"/>
        </w:numPr>
        <w:tabs>
          <w:tab w:val="left" w:pos="1145"/>
        </w:tabs>
        <w:ind w:right="347" w:firstLine="624"/>
        <w:rPr>
          <w:sz w:val="24"/>
          <w:lang w:val="en-US"/>
        </w:rPr>
      </w:pPr>
      <w:r w:rsidRPr="001227B6">
        <w:rPr>
          <w:sz w:val="24"/>
          <w:lang w:val="en-US"/>
        </w:rPr>
        <w:t>International standard 1st World Health Organization International Standard for Hepatitis D Virus RNA for Nucleic Acid Amplification Techniques (NAT)-Based Assays PEI code 7657/12, with a concentration of 575,000 IU/ml</w:t>
      </w:r>
    </w:p>
    <w:p w14:paraId="12D49105" w14:textId="77777777" w:rsidR="00AC43DA" w:rsidRPr="001227B6" w:rsidRDefault="00303B2C">
      <w:pPr>
        <w:pStyle w:val="a3"/>
        <w:ind w:right="343"/>
        <w:rPr>
          <w:lang w:val="en-US"/>
        </w:rPr>
      </w:pPr>
      <w:r w:rsidRPr="001227B6">
        <w:rPr>
          <w:lang w:val="en-US"/>
        </w:rPr>
        <w:t>in HBV/HCV/HDV-negative human K2-EDTA plasma within the expected detection limit for 100 µl samples.</w:t>
      </w:r>
    </w:p>
    <w:p w14:paraId="7FCC3485" w14:textId="77777777" w:rsidR="00AC43DA" w:rsidRPr="001227B6" w:rsidRDefault="00303B2C">
      <w:pPr>
        <w:pStyle w:val="a3"/>
        <w:ind w:left="894" w:firstLine="0"/>
        <w:rPr>
          <w:lang w:val="en-US"/>
        </w:rPr>
      </w:pPr>
      <w:r w:rsidRPr="001227B6">
        <w:rPr>
          <w:lang w:val="en-US"/>
        </w:rPr>
        <w:t>Each of the 7 dilutions was analyzed using a kit</w:t>
      </w:r>
    </w:p>
    <w:p w14:paraId="5807CC00" w14:textId="77777777" w:rsidR="00AC43DA" w:rsidRPr="001227B6" w:rsidRDefault="00303B2C">
      <w:pPr>
        <w:pStyle w:val="a3"/>
        <w:ind w:right="342" w:firstLine="0"/>
        <w:rPr>
          <w:lang w:val="en-US"/>
        </w:rPr>
      </w:pPr>
      <w:r w:rsidRPr="001227B6">
        <w:rPr>
          <w:color w:val="000009"/>
          <w:lang w:val="en-US"/>
        </w:rPr>
        <w:t>"</w:t>
      </w:r>
      <w:r w:rsidRPr="001227B6">
        <w:rPr>
          <w:lang w:val="en-US"/>
        </w:rPr>
        <w:t>HEPA-BCD test</w:t>
      </w:r>
      <w:r w:rsidRPr="001227B6">
        <w:rPr>
          <w:color w:val="000009"/>
          <w:lang w:val="en-US"/>
        </w:rPr>
        <w:t>»</w:t>
      </w:r>
      <w:r w:rsidRPr="001227B6">
        <w:rPr>
          <w:lang w:val="en-US"/>
        </w:rPr>
        <w:t>on 3 different days in 30 replicates to calculate the percentage of positive results. The results were determined in accordance with international recommendations CLSI EP-17A2 by probit analysis.</w:t>
      </w:r>
    </w:p>
    <w:p w14:paraId="3E29F53D"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6AB20BCF" w14:textId="77777777" w:rsidR="00AC43DA" w:rsidRPr="001227B6" w:rsidRDefault="00303B2C">
      <w:pPr>
        <w:pStyle w:val="a3"/>
        <w:spacing w:before="60" w:after="8"/>
        <w:ind w:right="349" w:firstLine="708"/>
        <w:rPr>
          <w:lang w:val="en-US"/>
        </w:rPr>
      </w:pPr>
      <w:r w:rsidRPr="001227B6">
        <w:rPr>
          <w:lang w:val="en-US"/>
        </w:rPr>
        <w:lastRenderedPageBreak/>
        <w:t xml:space="preserve">Analytical sensitivity: the limit of detection (LOD) for 100 </w:t>
      </w:r>
      <w:r>
        <w:t>μ</w:t>
      </w:r>
      <w:r w:rsidRPr="001227B6">
        <w:rPr>
          <w:lang w:val="en-US"/>
        </w:rPr>
        <w:t>l K2-EDTA human plasma samples was:</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716"/>
        <w:gridCol w:w="2110"/>
        <w:gridCol w:w="2093"/>
      </w:tblGrid>
      <w:tr w:rsidR="00AC43DA" w14:paraId="5687B38C" w14:textId="77777777">
        <w:trPr>
          <w:trHeight w:val="1518"/>
        </w:trPr>
        <w:tc>
          <w:tcPr>
            <w:tcW w:w="1385" w:type="dxa"/>
          </w:tcPr>
          <w:p w14:paraId="4B7BFE8F" w14:textId="77777777" w:rsidR="00AC43DA" w:rsidRDefault="00303B2C">
            <w:pPr>
              <w:pStyle w:val="TableParagraph"/>
              <w:spacing w:line="249" w:lineRule="exact"/>
              <w:rPr>
                <w:b/>
              </w:rPr>
            </w:pPr>
            <w:r>
              <w:rPr>
                <w:b/>
              </w:rPr>
              <w:t>Analyst</w:t>
            </w:r>
          </w:p>
        </w:tc>
        <w:tc>
          <w:tcPr>
            <w:tcW w:w="1716" w:type="dxa"/>
          </w:tcPr>
          <w:p w14:paraId="6EE17F2D" w14:textId="77777777" w:rsidR="00AC43DA" w:rsidRDefault="00303B2C">
            <w:pPr>
              <w:pStyle w:val="TableParagraph"/>
              <w:ind w:right="84"/>
              <w:rPr>
                <w:b/>
              </w:rPr>
            </w:pPr>
            <w:r>
              <w:rPr>
                <w:b/>
              </w:rPr>
              <w:t>Cycler used</w:t>
            </w:r>
          </w:p>
        </w:tc>
        <w:tc>
          <w:tcPr>
            <w:tcW w:w="2110" w:type="dxa"/>
          </w:tcPr>
          <w:p w14:paraId="5BD8C946" w14:textId="77777777" w:rsidR="00AC43DA" w:rsidRPr="001227B6" w:rsidRDefault="00303B2C">
            <w:pPr>
              <w:pStyle w:val="TableParagraph"/>
              <w:ind w:left="673" w:right="261" w:hanging="370"/>
              <w:rPr>
                <w:b/>
                <w:lang w:val="en-US"/>
              </w:rPr>
            </w:pPr>
            <w:r w:rsidRPr="001227B6">
              <w:rPr>
                <w:b/>
                <w:lang w:val="en-US"/>
              </w:rPr>
              <w:t>Concentration, IU/ml (LOD) s</w:t>
            </w:r>
          </w:p>
          <w:p w14:paraId="26AE59DF" w14:textId="77777777" w:rsidR="00AC43DA" w:rsidRPr="001227B6" w:rsidRDefault="00303B2C">
            <w:pPr>
              <w:pStyle w:val="TableParagraph"/>
              <w:spacing w:line="252" w:lineRule="exact"/>
              <w:ind w:left="313" w:right="287"/>
              <w:jc w:val="center"/>
              <w:rPr>
                <w:b/>
                <w:lang w:val="en-US"/>
              </w:rPr>
            </w:pPr>
            <w:r w:rsidRPr="001227B6">
              <w:rPr>
                <w:b/>
                <w:lang w:val="en-US"/>
              </w:rPr>
              <w:t>confidence level 95%</w:t>
            </w:r>
          </w:p>
        </w:tc>
        <w:tc>
          <w:tcPr>
            <w:tcW w:w="2093" w:type="dxa"/>
          </w:tcPr>
          <w:p w14:paraId="09BA98E1" w14:textId="77777777" w:rsidR="00AC43DA" w:rsidRDefault="00303B2C">
            <w:pPr>
              <w:pStyle w:val="TableParagraph"/>
              <w:ind w:left="342" w:right="212" w:hanging="89"/>
              <w:rPr>
                <w:b/>
              </w:rPr>
            </w:pPr>
            <w:r>
              <w:rPr>
                <w:b/>
              </w:rPr>
              <w:t>Confidence interval 95%</w:t>
            </w:r>
          </w:p>
        </w:tc>
      </w:tr>
      <w:tr w:rsidR="00AC43DA" w14:paraId="22416C87" w14:textId="77777777">
        <w:trPr>
          <w:trHeight w:val="251"/>
        </w:trPr>
        <w:tc>
          <w:tcPr>
            <w:tcW w:w="1385" w:type="dxa"/>
            <w:vMerge w:val="restart"/>
          </w:tcPr>
          <w:p w14:paraId="2EFFEA76" w14:textId="77777777" w:rsidR="00AC43DA" w:rsidRDefault="00303B2C">
            <w:pPr>
              <w:pStyle w:val="TableParagraph"/>
              <w:spacing w:line="244" w:lineRule="exact"/>
            </w:pPr>
            <w:r>
              <w:t>HBV DNA</w:t>
            </w:r>
          </w:p>
        </w:tc>
        <w:tc>
          <w:tcPr>
            <w:tcW w:w="1716" w:type="dxa"/>
          </w:tcPr>
          <w:p w14:paraId="2AD27A39" w14:textId="77777777" w:rsidR="00AC43DA" w:rsidRDefault="00303B2C">
            <w:pPr>
              <w:pStyle w:val="TableParagraph"/>
              <w:spacing w:line="232" w:lineRule="exact"/>
            </w:pPr>
            <w:r>
              <w:t>DTprime</w:t>
            </w:r>
          </w:p>
        </w:tc>
        <w:tc>
          <w:tcPr>
            <w:tcW w:w="2110" w:type="dxa"/>
          </w:tcPr>
          <w:p w14:paraId="67A7AFE0" w14:textId="77777777" w:rsidR="00AC43DA" w:rsidRDefault="00303B2C">
            <w:pPr>
              <w:pStyle w:val="TableParagraph"/>
              <w:spacing w:line="221" w:lineRule="exact"/>
              <w:ind w:left="311" w:right="287"/>
              <w:jc w:val="center"/>
              <w:rPr>
                <w:sz w:val="20"/>
              </w:rPr>
            </w:pPr>
            <w:r>
              <w:rPr>
                <w:sz w:val="20"/>
              </w:rPr>
              <w:t>47.8</w:t>
            </w:r>
          </w:p>
        </w:tc>
        <w:tc>
          <w:tcPr>
            <w:tcW w:w="2093" w:type="dxa"/>
          </w:tcPr>
          <w:p w14:paraId="2713160B" w14:textId="77777777" w:rsidR="00AC43DA" w:rsidRDefault="00303B2C">
            <w:pPr>
              <w:pStyle w:val="TableParagraph"/>
              <w:spacing w:line="221" w:lineRule="exact"/>
              <w:ind w:left="118"/>
              <w:rPr>
                <w:sz w:val="20"/>
              </w:rPr>
            </w:pPr>
            <w:r>
              <w:rPr>
                <w:sz w:val="20"/>
              </w:rPr>
              <w:t>95%CI: 46.37-49.23</w:t>
            </w:r>
          </w:p>
        </w:tc>
      </w:tr>
      <w:tr w:rsidR="00AC43DA" w14:paraId="35943CBC" w14:textId="77777777">
        <w:trPr>
          <w:trHeight w:val="252"/>
        </w:trPr>
        <w:tc>
          <w:tcPr>
            <w:tcW w:w="1385" w:type="dxa"/>
            <w:vMerge/>
            <w:tcBorders>
              <w:top w:val="nil"/>
            </w:tcBorders>
          </w:tcPr>
          <w:p w14:paraId="42ED4A4A" w14:textId="77777777" w:rsidR="00AC43DA" w:rsidRDefault="00AC43DA">
            <w:pPr>
              <w:rPr>
                <w:sz w:val="2"/>
                <w:szCs w:val="2"/>
              </w:rPr>
            </w:pPr>
          </w:p>
        </w:tc>
        <w:tc>
          <w:tcPr>
            <w:tcW w:w="1716" w:type="dxa"/>
          </w:tcPr>
          <w:p w14:paraId="2447CB28" w14:textId="77777777" w:rsidR="00AC43DA" w:rsidRDefault="00303B2C">
            <w:pPr>
              <w:pStyle w:val="TableParagraph"/>
              <w:spacing w:line="232" w:lineRule="exact"/>
            </w:pPr>
            <w:r>
              <w:t>CFX 96</w:t>
            </w:r>
          </w:p>
        </w:tc>
        <w:tc>
          <w:tcPr>
            <w:tcW w:w="2110" w:type="dxa"/>
          </w:tcPr>
          <w:p w14:paraId="714981F0" w14:textId="77777777" w:rsidR="00AC43DA" w:rsidRDefault="00303B2C">
            <w:pPr>
              <w:pStyle w:val="TableParagraph"/>
              <w:spacing w:line="224" w:lineRule="exact"/>
              <w:ind w:left="311" w:right="287"/>
              <w:jc w:val="center"/>
              <w:rPr>
                <w:sz w:val="20"/>
              </w:rPr>
            </w:pPr>
            <w:r>
              <w:rPr>
                <w:sz w:val="20"/>
              </w:rPr>
              <w:t>48.4</w:t>
            </w:r>
          </w:p>
        </w:tc>
        <w:tc>
          <w:tcPr>
            <w:tcW w:w="2093" w:type="dxa"/>
          </w:tcPr>
          <w:p w14:paraId="2C0ACE2C" w14:textId="77777777" w:rsidR="00AC43DA" w:rsidRDefault="00303B2C">
            <w:pPr>
              <w:pStyle w:val="TableParagraph"/>
              <w:spacing w:line="224" w:lineRule="exact"/>
              <w:ind w:left="118"/>
              <w:rPr>
                <w:sz w:val="20"/>
              </w:rPr>
            </w:pPr>
            <w:r>
              <w:rPr>
                <w:sz w:val="20"/>
              </w:rPr>
              <w:t>95%CI: 46.97-49.83</w:t>
            </w:r>
          </w:p>
        </w:tc>
      </w:tr>
      <w:tr w:rsidR="00AC43DA" w14:paraId="65ACB930" w14:textId="77777777">
        <w:trPr>
          <w:trHeight w:val="254"/>
        </w:trPr>
        <w:tc>
          <w:tcPr>
            <w:tcW w:w="1385" w:type="dxa"/>
            <w:vMerge/>
            <w:tcBorders>
              <w:top w:val="nil"/>
            </w:tcBorders>
          </w:tcPr>
          <w:p w14:paraId="12EACE78" w14:textId="77777777" w:rsidR="00AC43DA" w:rsidRDefault="00AC43DA">
            <w:pPr>
              <w:rPr>
                <w:sz w:val="2"/>
                <w:szCs w:val="2"/>
              </w:rPr>
            </w:pPr>
          </w:p>
        </w:tc>
        <w:tc>
          <w:tcPr>
            <w:tcW w:w="1716" w:type="dxa"/>
          </w:tcPr>
          <w:p w14:paraId="54FF80B9" w14:textId="77777777" w:rsidR="00AC43DA" w:rsidRDefault="00303B2C">
            <w:pPr>
              <w:pStyle w:val="TableParagraph"/>
              <w:spacing w:line="234" w:lineRule="exact"/>
            </w:pPr>
            <w:r>
              <w:t>Rotor-Gene Q</w:t>
            </w:r>
          </w:p>
        </w:tc>
        <w:tc>
          <w:tcPr>
            <w:tcW w:w="2110" w:type="dxa"/>
          </w:tcPr>
          <w:p w14:paraId="68FA1CB6" w14:textId="77777777" w:rsidR="00AC43DA" w:rsidRDefault="00303B2C">
            <w:pPr>
              <w:pStyle w:val="TableParagraph"/>
              <w:spacing w:line="221" w:lineRule="exact"/>
              <w:ind w:left="311" w:right="287"/>
              <w:jc w:val="center"/>
              <w:rPr>
                <w:sz w:val="20"/>
              </w:rPr>
            </w:pPr>
            <w:r>
              <w:rPr>
                <w:sz w:val="20"/>
              </w:rPr>
              <w:t>48.1</w:t>
            </w:r>
          </w:p>
        </w:tc>
        <w:tc>
          <w:tcPr>
            <w:tcW w:w="2093" w:type="dxa"/>
          </w:tcPr>
          <w:p w14:paraId="5E2C5459" w14:textId="77777777" w:rsidR="00AC43DA" w:rsidRDefault="00303B2C">
            <w:pPr>
              <w:pStyle w:val="TableParagraph"/>
              <w:spacing w:line="221" w:lineRule="exact"/>
              <w:ind w:left="118"/>
              <w:rPr>
                <w:sz w:val="20"/>
              </w:rPr>
            </w:pPr>
            <w:r>
              <w:rPr>
                <w:sz w:val="20"/>
              </w:rPr>
              <w:t>95%CI: 46.67-49.53</w:t>
            </w:r>
          </w:p>
        </w:tc>
      </w:tr>
      <w:tr w:rsidR="00AC43DA" w14:paraId="673A9478" w14:textId="77777777">
        <w:trPr>
          <w:trHeight w:val="251"/>
        </w:trPr>
        <w:tc>
          <w:tcPr>
            <w:tcW w:w="1385" w:type="dxa"/>
            <w:vMerge/>
            <w:tcBorders>
              <w:top w:val="nil"/>
            </w:tcBorders>
          </w:tcPr>
          <w:p w14:paraId="2E4964FE" w14:textId="77777777" w:rsidR="00AC43DA" w:rsidRDefault="00AC43DA">
            <w:pPr>
              <w:rPr>
                <w:sz w:val="2"/>
                <w:szCs w:val="2"/>
              </w:rPr>
            </w:pPr>
          </w:p>
        </w:tc>
        <w:tc>
          <w:tcPr>
            <w:tcW w:w="1716" w:type="dxa"/>
          </w:tcPr>
          <w:p w14:paraId="50B43618" w14:textId="77777777" w:rsidR="00AC43DA" w:rsidRDefault="00303B2C">
            <w:pPr>
              <w:pStyle w:val="TableParagraph"/>
              <w:spacing w:line="232" w:lineRule="exact"/>
            </w:pPr>
            <w:r>
              <w:t>Quant Studio 5</w:t>
            </w:r>
          </w:p>
        </w:tc>
        <w:tc>
          <w:tcPr>
            <w:tcW w:w="2110" w:type="dxa"/>
          </w:tcPr>
          <w:p w14:paraId="2C8C1E0C" w14:textId="77777777" w:rsidR="00AC43DA" w:rsidRDefault="00303B2C">
            <w:pPr>
              <w:pStyle w:val="TableParagraph"/>
              <w:spacing w:line="223" w:lineRule="exact"/>
              <w:ind w:left="311" w:right="287"/>
              <w:jc w:val="center"/>
              <w:rPr>
                <w:sz w:val="20"/>
              </w:rPr>
            </w:pPr>
            <w:r>
              <w:rPr>
                <w:sz w:val="20"/>
              </w:rPr>
              <w:t>48.8</w:t>
            </w:r>
          </w:p>
        </w:tc>
        <w:tc>
          <w:tcPr>
            <w:tcW w:w="2093" w:type="dxa"/>
          </w:tcPr>
          <w:p w14:paraId="16697858" w14:textId="77777777" w:rsidR="00AC43DA" w:rsidRDefault="00303B2C">
            <w:pPr>
              <w:pStyle w:val="TableParagraph"/>
              <w:spacing w:line="223" w:lineRule="exact"/>
              <w:ind w:left="118"/>
              <w:rPr>
                <w:sz w:val="20"/>
              </w:rPr>
            </w:pPr>
            <w:r>
              <w:rPr>
                <w:sz w:val="20"/>
              </w:rPr>
              <w:t>95%CI: 47.37 – 50.23</w:t>
            </w:r>
          </w:p>
        </w:tc>
      </w:tr>
      <w:tr w:rsidR="00AC43DA" w14:paraId="300F405F" w14:textId="77777777">
        <w:trPr>
          <w:trHeight w:val="254"/>
        </w:trPr>
        <w:tc>
          <w:tcPr>
            <w:tcW w:w="1385" w:type="dxa"/>
            <w:vMerge w:val="restart"/>
          </w:tcPr>
          <w:p w14:paraId="4D5EAAE4" w14:textId="77777777" w:rsidR="00AC43DA" w:rsidRDefault="00303B2C">
            <w:pPr>
              <w:pStyle w:val="TableParagraph"/>
              <w:spacing w:line="244" w:lineRule="exact"/>
            </w:pPr>
            <w:r>
              <w:t>HCV RNA</w:t>
            </w:r>
          </w:p>
        </w:tc>
        <w:tc>
          <w:tcPr>
            <w:tcW w:w="1716" w:type="dxa"/>
          </w:tcPr>
          <w:p w14:paraId="43CECADD" w14:textId="77777777" w:rsidR="00AC43DA" w:rsidRDefault="00303B2C">
            <w:pPr>
              <w:pStyle w:val="TableParagraph"/>
              <w:spacing w:line="234" w:lineRule="exact"/>
            </w:pPr>
            <w:r>
              <w:t>DTprime</w:t>
            </w:r>
          </w:p>
        </w:tc>
        <w:tc>
          <w:tcPr>
            <w:tcW w:w="2110" w:type="dxa"/>
          </w:tcPr>
          <w:p w14:paraId="6F49588C" w14:textId="77777777" w:rsidR="00AC43DA" w:rsidRDefault="00303B2C">
            <w:pPr>
              <w:pStyle w:val="TableParagraph"/>
              <w:spacing w:line="221" w:lineRule="exact"/>
              <w:ind w:left="311" w:right="287"/>
              <w:jc w:val="center"/>
              <w:rPr>
                <w:sz w:val="20"/>
              </w:rPr>
            </w:pPr>
            <w:r>
              <w:rPr>
                <w:sz w:val="20"/>
              </w:rPr>
              <w:t>96.7</w:t>
            </w:r>
          </w:p>
        </w:tc>
        <w:tc>
          <w:tcPr>
            <w:tcW w:w="2093" w:type="dxa"/>
          </w:tcPr>
          <w:p w14:paraId="6BD6F203" w14:textId="77777777" w:rsidR="00AC43DA" w:rsidRDefault="00303B2C">
            <w:pPr>
              <w:pStyle w:val="TableParagraph"/>
              <w:spacing w:line="221" w:lineRule="exact"/>
              <w:ind w:left="118"/>
              <w:rPr>
                <w:sz w:val="20"/>
              </w:rPr>
            </w:pPr>
            <w:r>
              <w:rPr>
                <w:sz w:val="20"/>
              </w:rPr>
              <w:t>95%CI: 95.2-98.1</w:t>
            </w:r>
          </w:p>
        </w:tc>
      </w:tr>
      <w:tr w:rsidR="00AC43DA" w14:paraId="74825CEB" w14:textId="77777777">
        <w:trPr>
          <w:trHeight w:val="249"/>
        </w:trPr>
        <w:tc>
          <w:tcPr>
            <w:tcW w:w="1385" w:type="dxa"/>
            <w:vMerge/>
            <w:tcBorders>
              <w:top w:val="nil"/>
            </w:tcBorders>
          </w:tcPr>
          <w:p w14:paraId="542549E9" w14:textId="77777777" w:rsidR="00AC43DA" w:rsidRDefault="00AC43DA">
            <w:pPr>
              <w:rPr>
                <w:sz w:val="2"/>
                <w:szCs w:val="2"/>
              </w:rPr>
            </w:pPr>
          </w:p>
        </w:tc>
        <w:tc>
          <w:tcPr>
            <w:tcW w:w="1716" w:type="dxa"/>
          </w:tcPr>
          <w:p w14:paraId="359161D6" w14:textId="77777777" w:rsidR="00AC43DA" w:rsidRDefault="00303B2C">
            <w:pPr>
              <w:pStyle w:val="TableParagraph"/>
              <w:spacing w:line="229" w:lineRule="exact"/>
            </w:pPr>
            <w:r>
              <w:t>CFX 96</w:t>
            </w:r>
          </w:p>
        </w:tc>
        <w:tc>
          <w:tcPr>
            <w:tcW w:w="2110" w:type="dxa"/>
          </w:tcPr>
          <w:p w14:paraId="256321B1" w14:textId="77777777" w:rsidR="00AC43DA" w:rsidRDefault="00303B2C">
            <w:pPr>
              <w:pStyle w:val="TableParagraph"/>
              <w:spacing w:line="221" w:lineRule="exact"/>
              <w:ind w:left="311" w:right="287"/>
              <w:jc w:val="center"/>
              <w:rPr>
                <w:sz w:val="20"/>
              </w:rPr>
            </w:pPr>
            <w:r>
              <w:rPr>
                <w:sz w:val="20"/>
              </w:rPr>
              <w:t>97.0</w:t>
            </w:r>
          </w:p>
        </w:tc>
        <w:tc>
          <w:tcPr>
            <w:tcW w:w="2093" w:type="dxa"/>
          </w:tcPr>
          <w:p w14:paraId="671039B2" w14:textId="77777777" w:rsidR="00AC43DA" w:rsidRDefault="00303B2C">
            <w:pPr>
              <w:pStyle w:val="TableParagraph"/>
              <w:spacing w:line="221" w:lineRule="exact"/>
              <w:ind w:left="118"/>
              <w:rPr>
                <w:sz w:val="20"/>
              </w:rPr>
            </w:pPr>
            <w:r>
              <w:rPr>
                <w:sz w:val="20"/>
              </w:rPr>
              <w:t>95%CI: 95.5-98.4</w:t>
            </w:r>
          </w:p>
        </w:tc>
      </w:tr>
      <w:tr w:rsidR="00AC43DA" w14:paraId="327C1772" w14:textId="77777777">
        <w:trPr>
          <w:trHeight w:val="253"/>
        </w:trPr>
        <w:tc>
          <w:tcPr>
            <w:tcW w:w="1385" w:type="dxa"/>
            <w:vMerge/>
            <w:tcBorders>
              <w:top w:val="nil"/>
            </w:tcBorders>
          </w:tcPr>
          <w:p w14:paraId="48339BDB" w14:textId="77777777" w:rsidR="00AC43DA" w:rsidRDefault="00AC43DA">
            <w:pPr>
              <w:rPr>
                <w:sz w:val="2"/>
                <w:szCs w:val="2"/>
              </w:rPr>
            </w:pPr>
          </w:p>
        </w:tc>
        <w:tc>
          <w:tcPr>
            <w:tcW w:w="1716" w:type="dxa"/>
          </w:tcPr>
          <w:p w14:paraId="7EEEFD64" w14:textId="77777777" w:rsidR="00AC43DA" w:rsidRDefault="00303B2C">
            <w:pPr>
              <w:pStyle w:val="TableParagraph"/>
              <w:spacing w:line="234" w:lineRule="exact"/>
            </w:pPr>
            <w:r>
              <w:t>Rotor-Gene Q</w:t>
            </w:r>
          </w:p>
        </w:tc>
        <w:tc>
          <w:tcPr>
            <w:tcW w:w="2110" w:type="dxa"/>
          </w:tcPr>
          <w:p w14:paraId="317BE78E" w14:textId="77777777" w:rsidR="00AC43DA" w:rsidRDefault="00303B2C">
            <w:pPr>
              <w:pStyle w:val="TableParagraph"/>
              <w:spacing w:line="221" w:lineRule="exact"/>
              <w:ind w:left="310" w:right="287"/>
              <w:jc w:val="center"/>
              <w:rPr>
                <w:sz w:val="20"/>
              </w:rPr>
            </w:pPr>
            <w:r>
              <w:rPr>
                <w:sz w:val="20"/>
              </w:rPr>
              <w:t>105.9</w:t>
            </w:r>
          </w:p>
        </w:tc>
        <w:tc>
          <w:tcPr>
            <w:tcW w:w="2093" w:type="dxa"/>
          </w:tcPr>
          <w:p w14:paraId="796F00BC" w14:textId="77777777" w:rsidR="00AC43DA" w:rsidRDefault="00303B2C">
            <w:pPr>
              <w:pStyle w:val="TableParagraph"/>
              <w:spacing w:line="221" w:lineRule="exact"/>
              <w:ind w:left="118"/>
              <w:rPr>
                <w:sz w:val="20"/>
              </w:rPr>
            </w:pPr>
            <w:r>
              <w:rPr>
                <w:sz w:val="20"/>
              </w:rPr>
              <w:t>95%CI: 104.4-107.3</w:t>
            </w:r>
          </w:p>
        </w:tc>
      </w:tr>
      <w:tr w:rsidR="00AC43DA" w14:paraId="1F016589" w14:textId="77777777">
        <w:trPr>
          <w:trHeight w:val="251"/>
        </w:trPr>
        <w:tc>
          <w:tcPr>
            <w:tcW w:w="1385" w:type="dxa"/>
            <w:vMerge/>
            <w:tcBorders>
              <w:top w:val="nil"/>
            </w:tcBorders>
          </w:tcPr>
          <w:p w14:paraId="5D9C40A9" w14:textId="77777777" w:rsidR="00AC43DA" w:rsidRDefault="00AC43DA">
            <w:pPr>
              <w:rPr>
                <w:sz w:val="2"/>
                <w:szCs w:val="2"/>
              </w:rPr>
            </w:pPr>
          </w:p>
        </w:tc>
        <w:tc>
          <w:tcPr>
            <w:tcW w:w="1716" w:type="dxa"/>
          </w:tcPr>
          <w:p w14:paraId="4E6981D7" w14:textId="77777777" w:rsidR="00AC43DA" w:rsidRDefault="00303B2C">
            <w:pPr>
              <w:pStyle w:val="TableParagraph"/>
              <w:spacing w:line="232" w:lineRule="exact"/>
            </w:pPr>
            <w:r>
              <w:t>Quant Studio 5</w:t>
            </w:r>
          </w:p>
        </w:tc>
        <w:tc>
          <w:tcPr>
            <w:tcW w:w="2110" w:type="dxa"/>
          </w:tcPr>
          <w:p w14:paraId="40A6E4E8" w14:textId="77777777" w:rsidR="00AC43DA" w:rsidRDefault="00303B2C">
            <w:pPr>
              <w:pStyle w:val="TableParagraph"/>
              <w:spacing w:line="221" w:lineRule="exact"/>
              <w:ind w:left="311" w:right="287"/>
              <w:jc w:val="center"/>
              <w:rPr>
                <w:sz w:val="20"/>
              </w:rPr>
            </w:pPr>
            <w:r>
              <w:rPr>
                <w:sz w:val="20"/>
              </w:rPr>
              <w:t>97.1</w:t>
            </w:r>
          </w:p>
        </w:tc>
        <w:tc>
          <w:tcPr>
            <w:tcW w:w="2093" w:type="dxa"/>
          </w:tcPr>
          <w:p w14:paraId="5DA85CEA" w14:textId="77777777" w:rsidR="00AC43DA" w:rsidRDefault="00303B2C">
            <w:pPr>
              <w:pStyle w:val="TableParagraph"/>
              <w:spacing w:line="221" w:lineRule="exact"/>
              <w:ind w:left="118"/>
              <w:rPr>
                <w:sz w:val="20"/>
              </w:rPr>
            </w:pPr>
            <w:r>
              <w:rPr>
                <w:sz w:val="20"/>
              </w:rPr>
              <w:t>95%CI: 95.6-98.5</w:t>
            </w:r>
          </w:p>
        </w:tc>
      </w:tr>
      <w:tr w:rsidR="00AC43DA" w14:paraId="1C29F190" w14:textId="77777777">
        <w:trPr>
          <w:trHeight w:val="254"/>
        </w:trPr>
        <w:tc>
          <w:tcPr>
            <w:tcW w:w="1385" w:type="dxa"/>
            <w:vMerge w:val="restart"/>
          </w:tcPr>
          <w:p w14:paraId="13A0FB29" w14:textId="77777777" w:rsidR="00AC43DA" w:rsidRDefault="00303B2C">
            <w:pPr>
              <w:pStyle w:val="TableParagraph"/>
              <w:spacing w:line="247" w:lineRule="exact"/>
            </w:pPr>
            <w:r>
              <w:t>HDV RNA</w:t>
            </w:r>
          </w:p>
        </w:tc>
        <w:tc>
          <w:tcPr>
            <w:tcW w:w="1716" w:type="dxa"/>
          </w:tcPr>
          <w:p w14:paraId="21D004D3" w14:textId="77777777" w:rsidR="00AC43DA" w:rsidRDefault="00303B2C">
            <w:pPr>
              <w:pStyle w:val="TableParagraph"/>
              <w:spacing w:line="234" w:lineRule="exact"/>
            </w:pPr>
            <w:r>
              <w:t>DTprime</w:t>
            </w:r>
          </w:p>
        </w:tc>
        <w:tc>
          <w:tcPr>
            <w:tcW w:w="2110" w:type="dxa"/>
          </w:tcPr>
          <w:p w14:paraId="4455DD95" w14:textId="77777777" w:rsidR="00AC43DA" w:rsidRDefault="00303B2C">
            <w:pPr>
              <w:pStyle w:val="TableParagraph"/>
              <w:spacing w:line="234" w:lineRule="exact"/>
              <w:ind w:left="313" w:right="283"/>
              <w:jc w:val="center"/>
            </w:pPr>
            <w:r>
              <w:t>39.2</w:t>
            </w:r>
          </w:p>
        </w:tc>
        <w:tc>
          <w:tcPr>
            <w:tcW w:w="2093" w:type="dxa"/>
          </w:tcPr>
          <w:p w14:paraId="2D22692F" w14:textId="77777777" w:rsidR="00AC43DA" w:rsidRDefault="00303B2C">
            <w:pPr>
              <w:pStyle w:val="TableParagraph"/>
              <w:spacing w:line="234" w:lineRule="exact"/>
              <w:ind w:left="118"/>
            </w:pPr>
            <w:r>
              <w:t>95%CI: 37.7-40.63</w:t>
            </w:r>
          </w:p>
        </w:tc>
      </w:tr>
      <w:tr w:rsidR="00AC43DA" w14:paraId="0CCAE9EB" w14:textId="77777777">
        <w:trPr>
          <w:trHeight w:val="253"/>
        </w:trPr>
        <w:tc>
          <w:tcPr>
            <w:tcW w:w="1385" w:type="dxa"/>
            <w:vMerge/>
            <w:tcBorders>
              <w:top w:val="nil"/>
            </w:tcBorders>
          </w:tcPr>
          <w:p w14:paraId="1024F1B7" w14:textId="77777777" w:rsidR="00AC43DA" w:rsidRDefault="00AC43DA">
            <w:pPr>
              <w:rPr>
                <w:sz w:val="2"/>
                <w:szCs w:val="2"/>
              </w:rPr>
            </w:pPr>
          </w:p>
        </w:tc>
        <w:tc>
          <w:tcPr>
            <w:tcW w:w="1716" w:type="dxa"/>
          </w:tcPr>
          <w:p w14:paraId="7459A922" w14:textId="77777777" w:rsidR="00AC43DA" w:rsidRDefault="00303B2C">
            <w:pPr>
              <w:pStyle w:val="TableParagraph"/>
              <w:spacing w:line="234" w:lineRule="exact"/>
            </w:pPr>
            <w:r>
              <w:t>CFX 96</w:t>
            </w:r>
          </w:p>
        </w:tc>
        <w:tc>
          <w:tcPr>
            <w:tcW w:w="2110" w:type="dxa"/>
          </w:tcPr>
          <w:p w14:paraId="2EBA6B46" w14:textId="77777777" w:rsidR="00AC43DA" w:rsidRDefault="00303B2C">
            <w:pPr>
              <w:pStyle w:val="TableParagraph"/>
              <w:spacing w:line="234" w:lineRule="exact"/>
              <w:ind w:left="313" w:right="283"/>
              <w:jc w:val="center"/>
            </w:pPr>
            <w:r>
              <w:t>38.8</w:t>
            </w:r>
          </w:p>
        </w:tc>
        <w:tc>
          <w:tcPr>
            <w:tcW w:w="2093" w:type="dxa"/>
          </w:tcPr>
          <w:p w14:paraId="40B221E3" w14:textId="77777777" w:rsidR="00AC43DA" w:rsidRDefault="00303B2C">
            <w:pPr>
              <w:pStyle w:val="TableParagraph"/>
              <w:spacing w:line="234" w:lineRule="exact"/>
              <w:ind w:left="118"/>
            </w:pPr>
            <w:r>
              <w:t>95%CI: 37.3-40.2</w:t>
            </w:r>
          </w:p>
        </w:tc>
      </w:tr>
      <w:tr w:rsidR="00AC43DA" w14:paraId="311F3B1F" w14:textId="77777777">
        <w:trPr>
          <w:trHeight w:val="249"/>
        </w:trPr>
        <w:tc>
          <w:tcPr>
            <w:tcW w:w="1385" w:type="dxa"/>
            <w:vMerge/>
            <w:tcBorders>
              <w:top w:val="nil"/>
            </w:tcBorders>
          </w:tcPr>
          <w:p w14:paraId="5F7C97CA" w14:textId="77777777" w:rsidR="00AC43DA" w:rsidRDefault="00AC43DA">
            <w:pPr>
              <w:rPr>
                <w:sz w:val="2"/>
                <w:szCs w:val="2"/>
              </w:rPr>
            </w:pPr>
          </w:p>
        </w:tc>
        <w:tc>
          <w:tcPr>
            <w:tcW w:w="1716" w:type="dxa"/>
          </w:tcPr>
          <w:p w14:paraId="49D7FBCC" w14:textId="77777777" w:rsidR="00AC43DA" w:rsidRDefault="00303B2C">
            <w:pPr>
              <w:pStyle w:val="TableParagraph"/>
              <w:spacing w:line="230" w:lineRule="exact"/>
            </w:pPr>
            <w:r>
              <w:t>Rotor-Gene Q</w:t>
            </w:r>
          </w:p>
        </w:tc>
        <w:tc>
          <w:tcPr>
            <w:tcW w:w="2110" w:type="dxa"/>
          </w:tcPr>
          <w:p w14:paraId="7DE38BA9" w14:textId="77777777" w:rsidR="00AC43DA" w:rsidRDefault="00303B2C">
            <w:pPr>
              <w:pStyle w:val="TableParagraph"/>
              <w:spacing w:line="230" w:lineRule="exact"/>
              <w:ind w:left="313" w:right="283"/>
              <w:jc w:val="center"/>
            </w:pPr>
            <w:r>
              <w:t>39.4</w:t>
            </w:r>
          </w:p>
        </w:tc>
        <w:tc>
          <w:tcPr>
            <w:tcW w:w="2093" w:type="dxa"/>
          </w:tcPr>
          <w:p w14:paraId="1D71C856" w14:textId="77777777" w:rsidR="00AC43DA" w:rsidRDefault="00303B2C">
            <w:pPr>
              <w:pStyle w:val="TableParagraph"/>
              <w:spacing w:line="230" w:lineRule="exact"/>
              <w:ind w:left="118"/>
            </w:pPr>
            <w:r>
              <w:t>95%CI: 37.9-40.8</w:t>
            </w:r>
          </w:p>
        </w:tc>
      </w:tr>
      <w:tr w:rsidR="00AC43DA" w14:paraId="0F3B99D8" w14:textId="77777777">
        <w:trPr>
          <w:trHeight w:val="254"/>
        </w:trPr>
        <w:tc>
          <w:tcPr>
            <w:tcW w:w="1385" w:type="dxa"/>
            <w:vMerge/>
            <w:tcBorders>
              <w:top w:val="nil"/>
            </w:tcBorders>
          </w:tcPr>
          <w:p w14:paraId="162BF0BA" w14:textId="77777777" w:rsidR="00AC43DA" w:rsidRDefault="00AC43DA">
            <w:pPr>
              <w:rPr>
                <w:sz w:val="2"/>
                <w:szCs w:val="2"/>
              </w:rPr>
            </w:pPr>
          </w:p>
        </w:tc>
        <w:tc>
          <w:tcPr>
            <w:tcW w:w="1716" w:type="dxa"/>
          </w:tcPr>
          <w:p w14:paraId="2EBEC898" w14:textId="77777777" w:rsidR="00AC43DA" w:rsidRDefault="00303B2C">
            <w:pPr>
              <w:pStyle w:val="TableParagraph"/>
              <w:spacing w:line="234" w:lineRule="exact"/>
            </w:pPr>
            <w:r>
              <w:t>Quant Studio 5</w:t>
            </w:r>
          </w:p>
        </w:tc>
        <w:tc>
          <w:tcPr>
            <w:tcW w:w="2110" w:type="dxa"/>
          </w:tcPr>
          <w:p w14:paraId="68222B75" w14:textId="77777777" w:rsidR="00AC43DA" w:rsidRDefault="00303B2C">
            <w:pPr>
              <w:pStyle w:val="TableParagraph"/>
              <w:spacing w:line="234" w:lineRule="exact"/>
              <w:ind w:left="313" w:right="283"/>
              <w:jc w:val="center"/>
            </w:pPr>
            <w:r>
              <w:t>36.5</w:t>
            </w:r>
          </w:p>
        </w:tc>
        <w:tc>
          <w:tcPr>
            <w:tcW w:w="2093" w:type="dxa"/>
          </w:tcPr>
          <w:p w14:paraId="01EA2935" w14:textId="77777777" w:rsidR="00AC43DA" w:rsidRDefault="00303B2C">
            <w:pPr>
              <w:pStyle w:val="TableParagraph"/>
              <w:spacing w:line="234" w:lineRule="exact"/>
              <w:ind w:left="118"/>
            </w:pPr>
            <w:r>
              <w:t>95%CI: 35.1-37.9</w:t>
            </w:r>
          </w:p>
        </w:tc>
      </w:tr>
    </w:tbl>
    <w:p w14:paraId="7C89A0CD" w14:textId="77777777" w:rsidR="00AC43DA" w:rsidRDefault="00AC43DA">
      <w:pPr>
        <w:pStyle w:val="a3"/>
        <w:spacing w:before="3"/>
        <w:ind w:left="0" w:firstLine="0"/>
        <w:jc w:val="left"/>
        <w:rPr>
          <w:sz w:val="23"/>
        </w:rPr>
      </w:pPr>
    </w:p>
    <w:p w14:paraId="46EAC532" w14:textId="77777777" w:rsidR="00AC43DA" w:rsidRPr="001227B6" w:rsidRDefault="00303B2C">
      <w:pPr>
        <w:ind w:left="328" w:right="350" w:firstLine="564"/>
        <w:jc w:val="both"/>
        <w:rPr>
          <w:sz w:val="24"/>
          <w:lang w:val="en-US"/>
        </w:rPr>
      </w:pPr>
      <w:r w:rsidRPr="001227B6">
        <w:rPr>
          <w:sz w:val="24"/>
          <w:lang w:val="en-US"/>
        </w:rPr>
        <w:t>To verify the detection limit when testing various genotypes of the hepatitis B virus (A, B, C, D, E, F, G) and hepatitis C virus (from 1a to 6), samples from the NIBSC standard panel were used:</w:t>
      </w:r>
    </w:p>
    <w:p w14:paraId="379BD838" w14:textId="77777777" w:rsidR="00AC43DA" w:rsidRPr="001227B6" w:rsidRDefault="00303B2C">
      <w:pPr>
        <w:pStyle w:val="a6"/>
        <w:numPr>
          <w:ilvl w:val="0"/>
          <w:numId w:val="21"/>
        </w:numPr>
        <w:tabs>
          <w:tab w:val="left" w:pos="1099"/>
        </w:tabs>
        <w:ind w:right="342" w:firstLine="564"/>
        <w:rPr>
          <w:sz w:val="24"/>
          <w:lang w:val="en-US"/>
        </w:rPr>
      </w:pPr>
      <w:r w:rsidRPr="001227B6">
        <w:rPr>
          <w:sz w:val="24"/>
          <w:lang w:val="en-US"/>
        </w:rPr>
        <w:t>International standard 1st WHO International Reference Panel for Hepatitis B Virus Genotypes for Nucleic Acid Amplification Techniques-Based Assays PEI code 5086/08, consisting of 15 samples of lyophilized HBV-positive plasma and covers the most common HBV genotypes: Samples 1–3 (genotype A) , Samples 4–6 (genotype B), Samples 7–9 (genotype C), samples 10–12 (genotype D), sample 13 (genotype E), sample 14 (genotype F) and sample 15 (genotype G).</w:t>
      </w:r>
    </w:p>
    <w:p w14:paraId="70C2BA00" w14:textId="77777777" w:rsidR="00AC43DA" w:rsidRPr="001227B6" w:rsidRDefault="00303B2C">
      <w:pPr>
        <w:pStyle w:val="a6"/>
        <w:numPr>
          <w:ilvl w:val="0"/>
          <w:numId w:val="19"/>
        </w:numPr>
        <w:tabs>
          <w:tab w:val="left" w:pos="1102"/>
        </w:tabs>
        <w:spacing w:before="1"/>
        <w:ind w:right="340" w:firstLine="564"/>
        <w:rPr>
          <w:sz w:val="24"/>
          <w:lang w:val="en-US"/>
        </w:rPr>
      </w:pPr>
      <w:r w:rsidRPr="002A70C2">
        <w:rPr>
          <w:sz w:val="24"/>
          <w:lang w:val="en-US"/>
        </w:rPr>
        <w:t>4th HCV RNA Genotype Panel for Nucleic Acid Amplification Techniques. NIBSC code: 14/290, consisting of seven bottles representing six main genotypes: bottle 14/276 – HCV genotype 1a, 14/278 – HCV genotype 1b, 14/280 – HCV genotype 2i,</w:t>
      </w:r>
    </w:p>
    <w:p w14:paraId="79669426" w14:textId="77777777" w:rsidR="00AC43DA" w:rsidRPr="001227B6" w:rsidRDefault="00AC43DA">
      <w:pPr>
        <w:jc w:val="both"/>
        <w:rPr>
          <w:sz w:val="24"/>
          <w:lang w:val="en-US"/>
        </w:rPr>
        <w:sectPr w:rsidR="00AC43DA" w:rsidRPr="001227B6">
          <w:pgSz w:w="8400" w:h="11920"/>
          <w:pgMar w:top="480" w:right="240" w:bottom="640" w:left="380" w:header="0" w:footer="378" w:gutter="0"/>
          <w:cols w:space="720"/>
        </w:sectPr>
      </w:pPr>
    </w:p>
    <w:p w14:paraId="6F4E6346" w14:textId="77777777" w:rsidR="00AC43DA" w:rsidRPr="001227B6" w:rsidRDefault="00303B2C">
      <w:pPr>
        <w:pStyle w:val="a3"/>
        <w:spacing w:before="60"/>
        <w:ind w:right="340" w:firstLine="0"/>
        <w:rPr>
          <w:lang w:val="en-US"/>
        </w:rPr>
      </w:pPr>
      <w:r w:rsidRPr="001227B6">
        <w:rPr>
          <w:lang w:val="en-US"/>
        </w:rPr>
        <w:lastRenderedPageBreak/>
        <w:t>14/282 – HCV genotype 3a, 14/284 – HCV4r genotype, 14/286 – HCV genotype 5a, 14/288 – genotype 6l.</w:t>
      </w:r>
    </w:p>
    <w:p w14:paraId="2D435CCE" w14:textId="77777777" w:rsidR="00AC43DA" w:rsidRPr="001227B6" w:rsidRDefault="00303B2C">
      <w:pPr>
        <w:pStyle w:val="a3"/>
        <w:spacing w:before="1"/>
        <w:ind w:right="340"/>
        <w:rPr>
          <w:lang w:val="en-US"/>
        </w:rPr>
      </w:pPr>
      <w:r w:rsidRPr="001227B6">
        <w:rPr>
          <w:lang w:val="en-US"/>
        </w:rPr>
        <w:t>The results obtained confirmed the ability of the “HEPA-BCD-test” reagent kit to detect genotypes A, B, C, D, E, F, G of the hepatitis B virus at a concentration of ~48 IU/ml and genotypes 1a, 1b, 2i, 3a, 4r, 5a, 6l hepatitis C virus at a concentration of ~100 IU/ml in 100 µl K2-EDTA plasma samples with an upper one-sided confidence interval of 95% exceeding the expected detection rate of 95%.</w:t>
      </w:r>
    </w:p>
    <w:p w14:paraId="0C4C25BA" w14:textId="77777777" w:rsidR="00AC43DA" w:rsidRPr="001227B6" w:rsidRDefault="00303B2C">
      <w:pPr>
        <w:pStyle w:val="1"/>
        <w:numPr>
          <w:ilvl w:val="2"/>
          <w:numId w:val="20"/>
        </w:numPr>
        <w:tabs>
          <w:tab w:val="left" w:pos="1541"/>
        </w:tabs>
        <w:spacing w:before="5"/>
        <w:ind w:left="328" w:right="349" w:firstLine="564"/>
        <w:rPr>
          <w:lang w:val="en-US"/>
        </w:rPr>
      </w:pPr>
      <w:r w:rsidRPr="001227B6">
        <w:rPr>
          <w:lang w:val="en-US"/>
        </w:rPr>
        <w:t>Analytical specificity: checking the effect of potentially interfering substances</w:t>
      </w:r>
    </w:p>
    <w:p w14:paraId="605010B5" w14:textId="77777777" w:rsidR="00AC43DA" w:rsidRPr="001227B6" w:rsidRDefault="00303B2C">
      <w:pPr>
        <w:pStyle w:val="a3"/>
        <w:ind w:right="352"/>
        <w:rPr>
          <w:lang w:val="en-US"/>
        </w:rPr>
      </w:pPr>
      <w:r w:rsidRPr="001227B6">
        <w:rPr>
          <w:lang w:val="en-US"/>
        </w:rPr>
        <w:t>The list of tested potentially interfering substances is given in section 8.3 of the Instructions.</w:t>
      </w:r>
    </w:p>
    <w:p w14:paraId="7A9DDC2C" w14:textId="77777777" w:rsidR="00AC43DA" w:rsidRPr="001227B6" w:rsidRDefault="00303B2C">
      <w:pPr>
        <w:pStyle w:val="a3"/>
        <w:spacing w:before="1"/>
        <w:ind w:right="355"/>
        <w:rPr>
          <w:lang w:val="en-US"/>
        </w:rPr>
      </w:pPr>
      <w:r w:rsidRPr="001227B6">
        <w:rPr>
          <w:lang w:val="en-US"/>
        </w:rPr>
        <w:t>Based on the results of the study, the following substances were classified as PCR inhibitors during the analysis:</w:t>
      </w:r>
    </w:p>
    <w:p w14:paraId="15147DD2" w14:textId="77777777" w:rsidR="00AC43DA" w:rsidRPr="001227B6" w:rsidRDefault="00303B2C">
      <w:pPr>
        <w:pStyle w:val="a6"/>
        <w:numPr>
          <w:ilvl w:val="0"/>
          <w:numId w:val="17"/>
        </w:numPr>
        <w:tabs>
          <w:tab w:val="left" w:pos="1215"/>
        </w:tabs>
        <w:ind w:right="348" w:firstLine="564"/>
        <w:rPr>
          <w:sz w:val="24"/>
          <w:lang w:val="en-US"/>
        </w:rPr>
      </w:pPr>
      <w:r w:rsidRPr="001227B6">
        <w:rPr>
          <w:sz w:val="24"/>
          <w:lang w:val="en-US"/>
        </w:rPr>
        <w:t>anticoagulants – heparin at a concentration of 0.15 IU/ml and sodium citrate at a concentration of 0.1 mM/ml. The use of heparin and sodium citrate as an anticoagulant when collecting peripheral blood is not allowed.</w:t>
      </w:r>
    </w:p>
    <w:p w14:paraId="4E2BA240" w14:textId="77777777" w:rsidR="00AC43DA" w:rsidRPr="001227B6" w:rsidRDefault="00303B2C">
      <w:pPr>
        <w:pStyle w:val="a6"/>
        <w:numPr>
          <w:ilvl w:val="0"/>
          <w:numId w:val="17"/>
        </w:numPr>
        <w:tabs>
          <w:tab w:val="left" w:pos="1277"/>
        </w:tabs>
        <w:ind w:right="351" w:firstLine="564"/>
        <w:rPr>
          <w:sz w:val="24"/>
          <w:lang w:val="en-US"/>
        </w:rPr>
      </w:pPr>
      <w:r w:rsidRPr="001227B6">
        <w:rPr>
          <w:sz w:val="24"/>
          <w:lang w:val="en-US"/>
        </w:rPr>
        <w:t>heparin at a concentration of 1 IU/ml, used for anticoagulant therapy. The presence of heparin in the blood of patients on anticoagulant therapy can lead to unreliable PCR results, so it is recommended to draw blood from such patients before the next administration of the drug.</w:t>
      </w:r>
    </w:p>
    <w:p w14:paraId="7AFC5D98" w14:textId="77777777" w:rsidR="00AC43DA" w:rsidRPr="001227B6" w:rsidRDefault="00303B2C">
      <w:pPr>
        <w:pStyle w:val="a3"/>
        <w:ind w:right="347"/>
        <w:rPr>
          <w:lang w:val="en-US"/>
        </w:rPr>
      </w:pPr>
      <w:r w:rsidRPr="001227B6">
        <w:rPr>
          <w:lang w:val="en-US"/>
        </w:rPr>
        <w:t>Other interfering substances in the indicated concentrations of interfering substances do not affect the results of qualitative detection and differentiation of hepatitis B virus, hepatitis C and D viruses using the “HEPA-BCD-test” test kit.</w:t>
      </w:r>
    </w:p>
    <w:p w14:paraId="3E9F8316" w14:textId="77777777" w:rsidR="00AC43DA" w:rsidRPr="001227B6" w:rsidRDefault="00303B2C">
      <w:pPr>
        <w:pStyle w:val="1"/>
        <w:numPr>
          <w:ilvl w:val="2"/>
          <w:numId w:val="20"/>
        </w:numPr>
        <w:tabs>
          <w:tab w:val="left" w:pos="1541"/>
        </w:tabs>
        <w:spacing w:before="1"/>
        <w:ind w:left="328" w:right="349" w:firstLine="564"/>
        <w:rPr>
          <w:lang w:val="en-US"/>
        </w:rPr>
      </w:pPr>
      <w:r w:rsidRPr="001227B6">
        <w:rPr>
          <w:lang w:val="en-US"/>
        </w:rPr>
        <w:t>Analytical specificity: checking the effect of potential cross-reagents.</w:t>
      </w:r>
    </w:p>
    <w:p w14:paraId="0874A801" w14:textId="77777777" w:rsidR="00AC43DA" w:rsidRPr="001227B6" w:rsidRDefault="00303B2C">
      <w:pPr>
        <w:pStyle w:val="a3"/>
        <w:ind w:right="340"/>
        <w:rPr>
          <w:lang w:val="en-US"/>
        </w:rPr>
      </w:pPr>
      <w:r w:rsidRPr="001227B6">
        <w:rPr>
          <w:lang w:val="en-US"/>
        </w:rPr>
        <w:t>As part of the technical tests, the absence of false negative and false positive reactions was confirmed, respectively, with samples positive for HBV DNA and HCV and HDV RNA content and negative samples with the addition of DNA of the following pathogens:</w:t>
      </w:r>
    </w:p>
    <w:p w14:paraId="7E5DED00" w14:textId="77777777" w:rsidR="00AC43DA" w:rsidRPr="001227B6" w:rsidRDefault="00AC43DA">
      <w:pPr>
        <w:rPr>
          <w:lang w:val="en-US"/>
        </w:rPr>
        <w:sectPr w:rsidR="00AC43DA" w:rsidRPr="001227B6">
          <w:pgSz w:w="8400" w:h="11920"/>
          <w:pgMar w:top="760" w:right="240" w:bottom="640" w:left="380" w:header="0" w:footer="378" w:gutter="0"/>
          <w:cols w:space="720"/>
        </w:sectPr>
      </w:pPr>
    </w:p>
    <w:p w14:paraId="745A1381" w14:textId="77777777" w:rsidR="00AC43DA" w:rsidRPr="001227B6" w:rsidRDefault="00303B2C">
      <w:pPr>
        <w:pStyle w:val="a6"/>
        <w:numPr>
          <w:ilvl w:val="0"/>
          <w:numId w:val="16"/>
        </w:numPr>
        <w:tabs>
          <w:tab w:val="left" w:pos="689"/>
        </w:tabs>
        <w:spacing w:before="68"/>
        <w:ind w:right="344"/>
        <w:rPr>
          <w:sz w:val="24"/>
          <w:lang w:val="en-US"/>
        </w:rPr>
      </w:pPr>
      <w:r w:rsidRPr="001227B6">
        <w:rPr>
          <w:sz w:val="24"/>
          <w:lang w:val="en-US"/>
        </w:rPr>
        <w:lastRenderedPageBreak/>
        <w:t>from the ATCC collection (American Type Culture Collection, USA): Propionibacterium acnes (ATCC® 29399™), Staphylococcus aureus subsp. aureus, strain Seattle 1945 (ATCC® 25923™), Staphylococcus epidermidis, FDA Strain PCI 1200 (ATCC® 12228™), Staphylococcus haemolyticus ATCC™ 29970™.</w:t>
      </w:r>
    </w:p>
    <w:p w14:paraId="3EAB3B77" w14:textId="77777777" w:rsidR="00AC43DA" w:rsidRPr="001227B6" w:rsidRDefault="00303B2C">
      <w:pPr>
        <w:pStyle w:val="a6"/>
        <w:numPr>
          <w:ilvl w:val="0"/>
          <w:numId w:val="16"/>
        </w:numPr>
        <w:tabs>
          <w:tab w:val="left" w:pos="689"/>
        </w:tabs>
        <w:spacing w:before="1"/>
        <w:ind w:right="348"/>
        <w:rPr>
          <w:sz w:val="24"/>
          <w:lang w:val="en-US"/>
        </w:rPr>
      </w:pPr>
      <w:r w:rsidRPr="001227B6">
        <w:rPr>
          <w:sz w:val="24"/>
          <w:lang w:val="en-US"/>
        </w:rPr>
        <w:t>from the collection "GKPM-OBOLENSK": Escherichia coli M-17 (strain number B-2929), Candida albicans NCTC 885-653 (strain number B-7940)</w:t>
      </w:r>
    </w:p>
    <w:p w14:paraId="4A152AF5" w14:textId="77777777" w:rsidR="00AC43DA" w:rsidRPr="001227B6" w:rsidRDefault="00303B2C">
      <w:pPr>
        <w:pStyle w:val="a3"/>
        <w:ind w:left="894" w:right="935" w:firstLine="0"/>
        <w:rPr>
          <w:lang w:val="en-US"/>
        </w:rPr>
      </w:pPr>
      <w:r w:rsidRPr="001227B6">
        <w:rPr>
          <w:lang w:val="en-US"/>
        </w:rPr>
        <w:t>at a maximum concentration of 106 to 107 cells per ml. No nonspecific reactions were detected.</w:t>
      </w:r>
    </w:p>
    <w:p w14:paraId="291DD3F8" w14:textId="77777777" w:rsidR="00AC43DA" w:rsidRPr="001227B6" w:rsidRDefault="00303B2C">
      <w:pPr>
        <w:pStyle w:val="1"/>
        <w:numPr>
          <w:ilvl w:val="2"/>
          <w:numId w:val="20"/>
        </w:numPr>
        <w:tabs>
          <w:tab w:val="left" w:pos="1644"/>
        </w:tabs>
        <w:spacing w:before="5"/>
        <w:ind w:left="328" w:right="351" w:firstLine="564"/>
        <w:rPr>
          <w:lang w:val="en-US"/>
        </w:rPr>
      </w:pPr>
      <w:r w:rsidRPr="001227B6">
        <w:rPr>
          <w:lang w:val="en-US"/>
        </w:rPr>
        <w:t>Precision in terms of repeatability and reproducibility:</w:t>
      </w:r>
    </w:p>
    <w:p w14:paraId="5B43B368" w14:textId="77777777" w:rsidR="008F55B0" w:rsidRDefault="008F55B0" w:rsidP="008F55B0">
      <w:pPr>
        <w:pStyle w:val="a6"/>
        <w:numPr>
          <w:ilvl w:val="3"/>
          <w:numId w:val="20"/>
        </w:numPr>
        <w:tabs>
          <w:tab w:val="left" w:pos="1368"/>
        </w:tabs>
        <w:ind w:right="349" w:firstLine="708"/>
        <w:rPr>
          <w:sz w:val="24"/>
          <w:lang w:val="en-US"/>
        </w:rPr>
      </w:pPr>
      <w:r w:rsidRPr="008F55B0">
        <w:rPr>
          <w:sz w:val="24"/>
          <w:lang w:val="en-US"/>
        </w:rPr>
        <w:t xml:space="preserve">The coefficient of variation under repeatability conditions is no more than 3%. </w:t>
      </w:r>
    </w:p>
    <w:p w14:paraId="09FBCCDD" w14:textId="5F18EE39" w:rsidR="00AC43DA" w:rsidRPr="008F55B0" w:rsidRDefault="008F55B0" w:rsidP="008F55B0">
      <w:pPr>
        <w:pStyle w:val="a6"/>
        <w:numPr>
          <w:ilvl w:val="3"/>
          <w:numId w:val="20"/>
        </w:numPr>
        <w:tabs>
          <w:tab w:val="left" w:pos="1368"/>
        </w:tabs>
        <w:ind w:right="349" w:firstLine="708"/>
        <w:rPr>
          <w:sz w:val="24"/>
          <w:lang w:val="en-US"/>
        </w:rPr>
      </w:pPr>
      <w:r w:rsidRPr="008F55B0">
        <w:rPr>
          <w:lang w:val="en-US"/>
        </w:rPr>
        <w:t xml:space="preserve">The coefficient of variation under kit reproducibility conditions is no more than </w:t>
      </w:r>
      <w:r>
        <w:rPr>
          <w:lang w:val="en-US"/>
        </w:rPr>
        <w:t>5</w:t>
      </w:r>
      <w:r w:rsidRPr="008F55B0">
        <w:rPr>
          <w:lang w:val="en-US"/>
        </w:rPr>
        <w:t>%.</w:t>
      </w:r>
    </w:p>
    <w:p w14:paraId="1BEEF794" w14:textId="77777777" w:rsidR="00AC43DA" w:rsidRDefault="00303B2C">
      <w:pPr>
        <w:pStyle w:val="1"/>
        <w:numPr>
          <w:ilvl w:val="1"/>
          <w:numId w:val="22"/>
        </w:numPr>
        <w:tabs>
          <w:tab w:val="left" w:pos="1551"/>
        </w:tabs>
        <w:ind w:left="1550" w:hanging="421"/>
        <w:jc w:val="both"/>
      </w:pPr>
      <w:r>
        <w:t>Clinical efficacy characteristics</w:t>
      </w:r>
    </w:p>
    <w:p w14:paraId="399CB292" w14:textId="77777777" w:rsidR="00AC43DA" w:rsidRPr="001227B6" w:rsidRDefault="00303B2C">
      <w:pPr>
        <w:pStyle w:val="a6"/>
        <w:numPr>
          <w:ilvl w:val="2"/>
          <w:numId w:val="15"/>
        </w:numPr>
        <w:tabs>
          <w:tab w:val="left" w:pos="1685"/>
        </w:tabs>
        <w:ind w:right="354" w:firstLine="564"/>
        <w:rPr>
          <w:b/>
          <w:sz w:val="24"/>
          <w:lang w:val="en-US"/>
        </w:rPr>
      </w:pPr>
      <w:r w:rsidRPr="001227B6">
        <w:rPr>
          <w:b/>
          <w:sz w:val="24"/>
          <w:lang w:val="en-US"/>
        </w:rPr>
        <w:t>Assessment of diagnostic sensitivity and diagnostic specificity</w:t>
      </w:r>
    </w:p>
    <w:p w14:paraId="4B7B61A8" w14:textId="77777777" w:rsidR="00AC43DA" w:rsidRPr="001227B6" w:rsidRDefault="00303B2C">
      <w:pPr>
        <w:pStyle w:val="a3"/>
        <w:ind w:right="340"/>
        <w:rPr>
          <w:lang w:val="en-US"/>
        </w:rPr>
      </w:pPr>
      <w:r w:rsidRPr="001227B6">
        <w:rPr>
          <w:lang w:val="en-US"/>
        </w:rPr>
        <w:t>For clinical trials, 81 samples of human K2-EDTA blood plasma were used, obtained from a bank of residual aliquots formed during routine diagnostic and treatment practice from patients:</w:t>
      </w:r>
    </w:p>
    <w:p w14:paraId="575E42F8" w14:textId="77777777" w:rsidR="00AC43DA" w:rsidRPr="001227B6" w:rsidRDefault="00303B2C">
      <w:pPr>
        <w:pStyle w:val="a6"/>
        <w:numPr>
          <w:ilvl w:val="1"/>
          <w:numId w:val="16"/>
        </w:numPr>
        <w:tabs>
          <w:tab w:val="left" w:pos="1097"/>
        </w:tabs>
        <w:ind w:right="342" w:firstLine="564"/>
        <w:rPr>
          <w:sz w:val="24"/>
          <w:lang w:val="en-US"/>
        </w:rPr>
      </w:pPr>
      <w:r w:rsidRPr="001227B6">
        <w:rPr>
          <w:sz w:val="24"/>
          <w:lang w:val="en-US"/>
        </w:rPr>
        <w:t>41 samples of human K2-EDTA blood plasma, from patients with detected hepatitis C virus aged from 12 to 65 years (17 women and 24 men);</w:t>
      </w:r>
    </w:p>
    <w:p w14:paraId="563C153C" w14:textId="77777777" w:rsidR="00AC43DA" w:rsidRPr="001227B6" w:rsidRDefault="00303B2C">
      <w:pPr>
        <w:pStyle w:val="a6"/>
        <w:numPr>
          <w:ilvl w:val="1"/>
          <w:numId w:val="16"/>
        </w:numPr>
        <w:tabs>
          <w:tab w:val="left" w:pos="1085"/>
        </w:tabs>
        <w:spacing w:before="1"/>
        <w:ind w:right="347" w:firstLine="564"/>
        <w:rPr>
          <w:sz w:val="24"/>
          <w:lang w:val="en-US"/>
        </w:rPr>
      </w:pPr>
      <w:r w:rsidRPr="001227B6">
        <w:rPr>
          <w:sz w:val="24"/>
          <w:lang w:val="en-US"/>
        </w:rPr>
        <w:t>30 samples of human K2-EDTA blood plasma, from patients with detected hepatitis B virus aged from 6 months to 85 years (from 14 women and 16 men)</w:t>
      </w:r>
    </w:p>
    <w:p w14:paraId="5A078346" w14:textId="77777777" w:rsidR="00AC43DA" w:rsidRPr="001227B6" w:rsidRDefault="00303B2C">
      <w:pPr>
        <w:pStyle w:val="a6"/>
        <w:numPr>
          <w:ilvl w:val="1"/>
          <w:numId w:val="16"/>
        </w:numPr>
        <w:tabs>
          <w:tab w:val="left" w:pos="1085"/>
        </w:tabs>
        <w:ind w:right="344" w:firstLine="564"/>
        <w:rPr>
          <w:sz w:val="24"/>
          <w:lang w:val="en-US"/>
        </w:rPr>
      </w:pPr>
      <w:r w:rsidRPr="001227B6">
        <w:rPr>
          <w:sz w:val="24"/>
          <w:lang w:val="en-US"/>
        </w:rPr>
        <w:t>10 samples of human K2-EDTA blood plasma, from patients with detected hepatitis B and D virus aged from 18 to 65 years (from 4 women and 6 men),</w:t>
      </w:r>
    </w:p>
    <w:p w14:paraId="6D440485" w14:textId="77777777" w:rsidR="00AC43DA" w:rsidRPr="001227B6" w:rsidRDefault="00303B2C">
      <w:pPr>
        <w:pStyle w:val="a3"/>
        <w:spacing w:line="253" w:lineRule="exact"/>
        <w:ind w:left="894" w:firstLine="0"/>
        <w:rPr>
          <w:lang w:val="en-US"/>
        </w:rPr>
      </w:pPr>
      <w:r w:rsidRPr="001227B6">
        <w:rPr>
          <w:lang w:val="en-US"/>
        </w:rPr>
        <w:t>having different stages of the corresponding disease.</w:t>
      </w:r>
    </w:p>
    <w:p w14:paraId="656E5854" w14:textId="77777777" w:rsidR="00AC43DA" w:rsidRPr="001227B6" w:rsidRDefault="00303B2C">
      <w:pPr>
        <w:pStyle w:val="a3"/>
        <w:ind w:right="343"/>
        <w:rPr>
          <w:lang w:val="en-US"/>
        </w:rPr>
      </w:pPr>
      <w:r w:rsidRPr="001227B6">
        <w:rPr>
          <w:lang w:val="en-US"/>
        </w:rPr>
        <w:t>This number of samples was collected in accordance with the recommendations of the International Guide CLSI EP09-A3, as well as in accordance with the requirements of GOST R 51352-2013.</w:t>
      </w:r>
    </w:p>
    <w:p w14:paraId="553F6BA7" w14:textId="77777777" w:rsidR="00AC43DA" w:rsidRPr="001227B6" w:rsidRDefault="00303B2C">
      <w:pPr>
        <w:pStyle w:val="a3"/>
        <w:ind w:left="892" w:firstLine="0"/>
        <w:rPr>
          <w:lang w:val="en-US"/>
        </w:rPr>
      </w:pPr>
      <w:r w:rsidRPr="001227B6">
        <w:rPr>
          <w:lang w:val="en-US"/>
        </w:rPr>
        <w:t>To assess the interrater consistency of the study</w:t>
      </w:r>
    </w:p>
    <w:p w14:paraId="7D11B709" w14:textId="77777777" w:rsidR="00AC43DA" w:rsidRPr="001227B6" w:rsidRDefault="00AC43DA">
      <w:pPr>
        <w:rPr>
          <w:lang w:val="en-US"/>
        </w:rPr>
        <w:sectPr w:rsidR="00AC43DA" w:rsidRPr="001227B6">
          <w:pgSz w:w="8400" w:h="11920"/>
          <w:pgMar w:top="680" w:right="240" w:bottom="600" w:left="380" w:header="0" w:footer="378" w:gutter="0"/>
          <w:cols w:space="720"/>
        </w:sectPr>
      </w:pPr>
    </w:p>
    <w:p w14:paraId="2BA7DE84" w14:textId="77777777" w:rsidR="00AC43DA" w:rsidRPr="001227B6" w:rsidRDefault="00303B2C">
      <w:pPr>
        <w:pStyle w:val="a3"/>
        <w:spacing w:before="68"/>
        <w:ind w:firstLine="0"/>
        <w:jc w:val="left"/>
        <w:rPr>
          <w:lang w:val="en-US"/>
        </w:rPr>
      </w:pPr>
      <w:r w:rsidRPr="001227B6">
        <w:rPr>
          <w:lang w:val="en-US"/>
        </w:rPr>
        <w:lastRenderedPageBreak/>
        <w:t>clinical samples were tested with the study medical device in two series.</w:t>
      </w:r>
    </w:p>
    <w:p w14:paraId="6210265F" w14:textId="77777777" w:rsidR="00AC43DA" w:rsidRPr="001227B6" w:rsidRDefault="00303B2C">
      <w:pPr>
        <w:pStyle w:val="a3"/>
        <w:spacing w:before="73"/>
        <w:jc w:val="left"/>
        <w:rPr>
          <w:lang w:val="en-US"/>
        </w:rPr>
      </w:pPr>
      <w:r w:rsidRPr="001227B6">
        <w:rPr>
          <w:lang w:val="en-US"/>
        </w:rPr>
        <w:t>The following amplifiers were used to carry out the PCR study:</w:t>
      </w:r>
    </w:p>
    <w:p w14:paraId="209D0219" w14:textId="77777777" w:rsidR="00AC43DA" w:rsidRPr="001227B6" w:rsidRDefault="00303B2C">
      <w:pPr>
        <w:pStyle w:val="a6"/>
        <w:numPr>
          <w:ilvl w:val="1"/>
          <w:numId w:val="16"/>
        </w:numPr>
        <w:tabs>
          <w:tab w:val="left" w:pos="1133"/>
        </w:tabs>
        <w:ind w:right="374" w:firstLine="564"/>
        <w:jc w:val="left"/>
        <w:rPr>
          <w:sz w:val="24"/>
          <w:lang w:val="en-US"/>
        </w:rPr>
      </w:pPr>
      <w:r w:rsidRPr="001227B6">
        <w:rPr>
          <w:sz w:val="24"/>
          <w:lang w:val="en-US"/>
        </w:rPr>
        <w:t>Detecting amplifier DTprime (NPO DNA-Technology LLC, Russia);</w:t>
      </w:r>
    </w:p>
    <w:p w14:paraId="42664F06" w14:textId="77777777" w:rsidR="00AC43DA" w:rsidRPr="001227B6" w:rsidRDefault="00303B2C">
      <w:pPr>
        <w:pStyle w:val="a6"/>
        <w:numPr>
          <w:ilvl w:val="1"/>
          <w:numId w:val="16"/>
        </w:numPr>
        <w:tabs>
          <w:tab w:val="left" w:pos="1023"/>
        </w:tabs>
        <w:spacing w:line="244" w:lineRule="exact"/>
        <w:ind w:left="1022" w:hanging="131"/>
        <w:jc w:val="left"/>
        <w:rPr>
          <w:sz w:val="24"/>
          <w:lang w:val="en-US"/>
        </w:rPr>
      </w:pPr>
      <w:r w:rsidRPr="001227B6">
        <w:rPr>
          <w:sz w:val="24"/>
          <w:lang w:val="en-US"/>
        </w:rPr>
        <w:t>Amplifier CFX 96 (Bio-Rad, USA);</w:t>
      </w:r>
    </w:p>
    <w:p w14:paraId="69F28021" w14:textId="77777777" w:rsidR="00AC43DA" w:rsidRPr="001227B6" w:rsidRDefault="00303B2C">
      <w:pPr>
        <w:pStyle w:val="a6"/>
        <w:numPr>
          <w:ilvl w:val="1"/>
          <w:numId w:val="16"/>
        </w:numPr>
        <w:tabs>
          <w:tab w:val="left" w:pos="1023"/>
        </w:tabs>
        <w:spacing w:line="253" w:lineRule="exact"/>
        <w:ind w:left="1022" w:hanging="131"/>
        <w:jc w:val="left"/>
        <w:rPr>
          <w:sz w:val="24"/>
          <w:lang w:val="en-US"/>
        </w:rPr>
      </w:pPr>
      <w:r w:rsidRPr="001227B6">
        <w:rPr>
          <w:sz w:val="24"/>
          <w:lang w:val="en-US"/>
        </w:rPr>
        <w:t>Rotor-Gene Q amplifier (Qiagen, Germany);</w:t>
      </w:r>
    </w:p>
    <w:p w14:paraId="172A61DC" w14:textId="77777777" w:rsidR="00AC43DA" w:rsidRPr="001227B6" w:rsidRDefault="00303B2C">
      <w:pPr>
        <w:pStyle w:val="a6"/>
        <w:numPr>
          <w:ilvl w:val="1"/>
          <w:numId w:val="16"/>
        </w:numPr>
        <w:tabs>
          <w:tab w:val="left" w:pos="1023"/>
        </w:tabs>
        <w:spacing w:line="237" w:lineRule="auto"/>
        <w:ind w:left="892" w:right="152" w:firstLine="0"/>
        <w:jc w:val="left"/>
        <w:rPr>
          <w:sz w:val="24"/>
          <w:lang w:val="en-US"/>
        </w:rPr>
      </w:pPr>
      <w:r w:rsidRPr="001227B6">
        <w:rPr>
          <w:sz w:val="24"/>
          <w:lang w:val="en-US"/>
        </w:rPr>
        <w:t>QuantStudio 5 amplifier (Thermo Fisher Scientific, USA). Of all tested samples of clinical material</w:t>
      </w:r>
    </w:p>
    <w:p w14:paraId="4FF8EFAA" w14:textId="77777777" w:rsidR="00AC43DA" w:rsidRPr="001227B6" w:rsidRDefault="00303B2C">
      <w:pPr>
        <w:pStyle w:val="a3"/>
        <w:ind w:right="344" w:firstLine="0"/>
        <w:rPr>
          <w:lang w:val="en-US"/>
        </w:rPr>
      </w:pPr>
      <w:r w:rsidRPr="001227B6">
        <w:rPr>
          <w:lang w:val="en-US"/>
        </w:rPr>
        <w:t>10 samples are true positive for the NA content of hepatitis B and D viruses, 30 samples are true positive for the DNA content of the hepatitis B virus, and 41 samples are true positive for the RNA content of the hepatitis C virus. The results of qualitative detection of NA viruses for hepatitis B, C, D coincided with testing with the test kit of reagents "HEPA-BCD-test", as well as with the comparison kits "AmpliSens® HBV/HDV-FL" and</w:t>
      </w:r>
    </w:p>
    <w:p w14:paraId="1C0F362F" w14:textId="77777777" w:rsidR="00AC43DA" w:rsidRPr="001227B6" w:rsidRDefault="00303B2C">
      <w:pPr>
        <w:pStyle w:val="a3"/>
        <w:ind w:right="346" w:firstLine="0"/>
        <w:rPr>
          <w:lang w:val="en-US"/>
        </w:rPr>
      </w:pPr>
      <w:r w:rsidRPr="001227B6">
        <w:rPr>
          <w:lang w:val="en-US"/>
        </w:rPr>
        <w:t>"AmpliSens® HCV-FL" for all tested samples of clinical material (no discordant samples were identified).</w:t>
      </w:r>
    </w:p>
    <w:p w14:paraId="0E9E725C" w14:textId="6D376243" w:rsidR="00AC43DA" w:rsidRPr="001227B6" w:rsidRDefault="00303B2C">
      <w:pPr>
        <w:pStyle w:val="a3"/>
        <w:ind w:right="795"/>
        <w:jc w:val="left"/>
        <w:rPr>
          <w:lang w:val="en-US"/>
        </w:rPr>
      </w:pPr>
      <w:r w:rsidRPr="001227B6">
        <w:rPr>
          <w:lang w:val="en-US"/>
        </w:rPr>
        <w:t xml:space="preserve">The results of studying the diagnostic characteristics of the studied set of reagents in relation to specific areas of the </w:t>
      </w:r>
      <w:r w:rsidR="005D71E3">
        <w:rPr>
          <w:lang w:val="en-US"/>
        </w:rPr>
        <w:t>NA</w:t>
      </w:r>
      <w:r w:rsidRPr="001227B6">
        <w:rPr>
          <w:lang w:val="en-US"/>
        </w:rPr>
        <w:t xml:space="preserve"> of hepatitis B, C, D viruses are shown in Table 4.</w:t>
      </w:r>
    </w:p>
    <w:p w14:paraId="6F95D942" w14:textId="77777777" w:rsidR="00AC43DA" w:rsidRDefault="00303B2C">
      <w:pPr>
        <w:pStyle w:val="a3"/>
        <w:ind w:left="894" w:firstLine="0"/>
        <w:jc w:val="left"/>
      </w:pPr>
      <w:r>
        <w:t>Table 4</w: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1404"/>
        <w:gridCol w:w="1298"/>
        <w:gridCol w:w="1517"/>
        <w:gridCol w:w="1512"/>
      </w:tblGrid>
      <w:tr w:rsidR="00AC43DA" w14:paraId="0C53CA46" w14:textId="77777777">
        <w:trPr>
          <w:trHeight w:val="1610"/>
        </w:trPr>
        <w:tc>
          <w:tcPr>
            <w:tcW w:w="1301" w:type="dxa"/>
          </w:tcPr>
          <w:p w14:paraId="62BCAEC3" w14:textId="77777777" w:rsidR="00AC43DA" w:rsidRDefault="00AC43DA">
            <w:pPr>
              <w:pStyle w:val="TableParagraph"/>
              <w:ind w:left="0"/>
              <w:rPr>
                <w:sz w:val="20"/>
              </w:rPr>
            </w:pPr>
          </w:p>
          <w:p w14:paraId="7B895D5B" w14:textId="77777777" w:rsidR="00AC43DA" w:rsidRDefault="00AC43DA">
            <w:pPr>
              <w:pStyle w:val="TableParagraph"/>
              <w:spacing w:before="8"/>
              <w:ind w:left="0"/>
              <w:rPr>
                <w:sz w:val="16"/>
              </w:rPr>
            </w:pPr>
          </w:p>
          <w:p w14:paraId="5FCF6930" w14:textId="77777777" w:rsidR="00AC43DA" w:rsidRDefault="00303B2C">
            <w:pPr>
              <w:pStyle w:val="TableParagraph"/>
              <w:ind w:left="223" w:right="198"/>
              <w:jc w:val="center"/>
              <w:rPr>
                <w:b/>
                <w:sz w:val="18"/>
              </w:rPr>
            </w:pPr>
            <w:r>
              <w:rPr>
                <w:b/>
                <w:spacing w:val="-1"/>
                <w:sz w:val="18"/>
              </w:rPr>
              <w:t>Define</w:t>
            </w:r>
            <w:r>
              <w:rPr>
                <w:b/>
                <w:sz w:val="18"/>
              </w:rPr>
              <w:t>analyte</w:t>
            </w:r>
          </w:p>
        </w:tc>
        <w:tc>
          <w:tcPr>
            <w:tcW w:w="1404" w:type="dxa"/>
          </w:tcPr>
          <w:p w14:paraId="33033D77" w14:textId="77777777" w:rsidR="00AC43DA" w:rsidRPr="001227B6" w:rsidRDefault="00303B2C">
            <w:pPr>
              <w:pStyle w:val="TableParagraph"/>
              <w:spacing w:before="112"/>
              <w:ind w:left="151" w:right="132" w:hanging="3"/>
              <w:jc w:val="center"/>
              <w:rPr>
                <w:b/>
                <w:sz w:val="18"/>
                <w:lang w:val="en-US"/>
              </w:rPr>
            </w:pPr>
            <w:r w:rsidRPr="001227B6">
              <w:rPr>
                <w:b/>
                <w:sz w:val="18"/>
                <w:lang w:val="en-US"/>
              </w:rPr>
              <w:t>Number of observations with positive samples</w:t>
            </w:r>
          </w:p>
        </w:tc>
        <w:tc>
          <w:tcPr>
            <w:tcW w:w="1298" w:type="dxa"/>
          </w:tcPr>
          <w:p w14:paraId="1E59CEB5" w14:textId="77777777" w:rsidR="00AC43DA" w:rsidRPr="001227B6" w:rsidRDefault="00303B2C">
            <w:pPr>
              <w:pStyle w:val="TableParagraph"/>
              <w:spacing w:before="112"/>
              <w:ind w:left="151" w:right="130" w:firstLine="3"/>
              <w:jc w:val="center"/>
              <w:rPr>
                <w:b/>
                <w:sz w:val="18"/>
                <w:lang w:val="en-US"/>
              </w:rPr>
            </w:pPr>
            <w:r w:rsidRPr="001227B6">
              <w:rPr>
                <w:b/>
                <w:sz w:val="18"/>
                <w:lang w:val="en-US"/>
              </w:rPr>
              <w:t>Number of observations with negative samples</w:t>
            </w:r>
          </w:p>
        </w:tc>
        <w:tc>
          <w:tcPr>
            <w:tcW w:w="1517" w:type="dxa"/>
          </w:tcPr>
          <w:p w14:paraId="765BAC60" w14:textId="77777777" w:rsidR="00AC43DA" w:rsidRPr="001227B6" w:rsidRDefault="00303B2C">
            <w:pPr>
              <w:pStyle w:val="TableParagraph"/>
              <w:spacing w:before="1" w:line="237" w:lineRule="auto"/>
              <w:ind w:left="203" w:right="174" w:hanging="2"/>
              <w:jc w:val="center"/>
              <w:rPr>
                <w:b/>
                <w:sz w:val="18"/>
                <w:lang w:val="en-US"/>
              </w:rPr>
            </w:pPr>
            <w:r w:rsidRPr="001227B6">
              <w:rPr>
                <w:b/>
                <w:sz w:val="18"/>
                <w:lang w:val="en-US"/>
              </w:rPr>
              <w:t>Diagnostic sensitivity</w:t>
            </w:r>
          </w:p>
          <w:p w14:paraId="35F0C8AD" w14:textId="77777777" w:rsidR="00AC43DA" w:rsidRPr="001227B6" w:rsidRDefault="00303B2C">
            <w:pPr>
              <w:pStyle w:val="TableParagraph"/>
              <w:ind w:left="141" w:right="109"/>
              <w:jc w:val="center"/>
              <w:rPr>
                <w:sz w:val="18"/>
                <w:lang w:val="en-US"/>
              </w:rPr>
            </w:pPr>
            <w:r w:rsidRPr="001227B6">
              <w:rPr>
                <w:spacing w:val="-1"/>
                <w:sz w:val="18"/>
                <w:lang w:val="en-US"/>
              </w:rPr>
              <w:t>with confidence</w:t>
            </w:r>
            <w:r w:rsidRPr="001227B6">
              <w:rPr>
                <w:sz w:val="18"/>
                <w:lang w:val="en-US"/>
              </w:rPr>
              <w:t>95% probability</w:t>
            </w:r>
          </w:p>
        </w:tc>
        <w:tc>
          <w:tcPr>
            <w:tcW w:w="1512" w:type="dxa"/>
          </w:tcPr>
          <w:p w14:paraId="714F5A9A" w14:textId="77777777" w:rsidR="00AC43DA" w:rsidRDefault="00303B2C">
            <w:pPr>
              <w:pStyle w:val="TableParagraph"/>
              <w:ind w:left="136" w:right="109"/>
              <w:jc w:val="center"/>
              <w:rPr>
                <w:sz w:val="18"/>
              </w:rPr>
            </w:pPr>
            <w:r>
              <w:rPr>
                <w:b/>
                <w:sz w:val="18"/>
              </w:rPr>
              <w:t>Diagnostic specificity</w:t>
            </w:r>
            <w:r>
              <w:rPr>
                <w:spacing w:val="-1"/>
                <w:sz w:val="18"/>
              </w:rPr>
              <w:t>with confidence</w:t>
            </w:r>
            <w:r>
              <w:rPr>
                <w:sz w:val="18"/>
              </w:rPr>
              <w:t>95% probability</w:t>
            </w:r>
          </w:p>
        </w:tc>
      </w:tr>
      <w:tr w:rsidR="00AC43DA" w14:paraId="4A9DF32A" w14:textId="77777777">
        <w:trPr>
          <w:trHeight w:val="688"/>
        </w:trPr>
        <w:tc>
          <w:tcPr>
            <w:tcW w:w="1301" w:type="dxa"/>
          </w:tcPr>
          <w:p w14:paraId="05838A84" w14:textId="1E1D063C" w:rsidR="00AC43DA" w:rsidRDefault="003D5103">
            <w:pPr>
              <w:pStyle w:val="TableParagraph"/>
              <w:ind w:left="194" w:right="215" w:hanging="63"/>
              <w:rPr>
                <w:sz w:val="18"/>
              </w:rPr>
            </w:pPr>
            <w:r w:rsidRPr="003D5103">
              <w:rPr>
                <w:spacing w:val="-2"/>
                <w:sz w:val="18"/>
              </w:rPr>
              <w:t>HBV DNA</w:t>
            </w:r>
          </w:p>
        </w:tc>
        <w:tc>
          <w:tcPr>
            <w:tcW w:w="1404" w:type="dxa"/>
          </w:tcPr>
          <w:p w14:paraId="2265AE71" w14:textId="77777777" w:rsidR="00AC43DA" w:rsidRDefault="00AC43DA">
            <w:pPr>
              <w:pStyle w:val="TableParagraph"/>
              <w:spacing w:before="3"/>
              <w:ind w:left="0"/>
              <w:rPr>
                <w:sz w:val="18"/>
              </w:rPr>
            </w:pPr>
          </w:p>
          <w:p w14:paraId="31E1D947" w14:textId="77777777" w:rsidR="00AC43DA" w:rsidRDefault="00303B2C">
            <w:pPr>
              <w:pStyle w:val="TableParagraph"/>
              <w:spacing w:before="1"/>
              <w:ind w:left="598" w:right="575"/>
              <w:jc w:val="center"/>
              <w:rPr>
                <w:sz w:val="18"/>
              </w:rPr>
            </w:pPr>
            <w:r>
              <w:rPr>
                <w:sz w:val="18"/>
              </w:rPr>
              <w:t>80</w:t>
            </w:r>
          </w:p>
        </w:tc>
        <w:tc>
          <w:tcPr>
            <w:tcW w:w="1298" w:type="dxa"/>
          </w:tcPr>
          <w:p w14:paraId="4059436C" w14:textId="77777777" w:rsidR="00AC43DA" w:rsidRDefault="00AC43DA">
            <w:pPr>
              <w:pStyle w:val="TableParagraph"/>
              <w:spacing w:before="3"/>
              <w:ind w:left="0"/>
              <w:rPr>
                <w:sz w:val="18"/>
              </w:rPr>
            </w:pPr>
          </w:p>
          <w:p w14:paraId="3B7C5CC7" w14:textId="77777777" w:rsidR="00AC43DA" w:rsidRDefault="00303B2C">
            <w:pPr>
              <w:pStyle w:val="TableParagraph"/>
              <w:spacing w:before="1"/>
              <w:ind w:left="501" w:right="477"/>
              <w:jc w:val="center"/>
              <w:rPr>
                <w:sz w:val="18"/>
              </w:rPr>
            </w:pPr>
            <w:r>
              <w:rPr>
                <w:sz w:val="18"/>
              </w:rPr>
              <w:t>144</w:t>
            </w:r>
          </w:p>
        </w:tc>
        <w:tc>
          <w:tcPr>
            <w:tcW w:w="1517" w:type="dxa"/>
          </w:tcPr>
          <w:p w14:paraId="2D001044" w14:textId="77777777" w:rsidR="00AC43DA" w:rsidRDefault="00303B2C">
            <w:pPr>
              <w:pStyle w:val="TableParagraph"/>
              <w:spacing w:before="9"/>
              <w:ind w:left="265" w:right="239"/>
              <w:jc w:val="center"/>
              <w:rPr>
                <w:sz w:val="18"/>
              </w:rPr>
            </w:pPr>
            <w:r>
              <w:rPr>
                <w:sz w:val="18"/>
              </w:rPr>
              <w:t>100% (95%</w:t>
            </w:r>
          </w:p>
          <w:p w14:paraId="767CCF9A" w14:textId="77777777" w:rsidR="00AC43DA" w:rsidRDefault="00303B2C">
            <w:pPr>
              <w:pStyle w:val="TableParagraph"/>
              <w:spacing w:before="7"/>
              <w:ind w:left="266" w:right="239"/>
              <w:jc w:val="center"/>
              <w:rPr>
                <w:sz w:val="18"/>
              </w:rPr>
            </w:pPr>
            <w:r>
              <w:rPr>
                <w:sz w:val="18"/>
              </w:rPr>
              <w:t>CI: 95.49%-</w:t>
            </w:r>
          </w:p>
          <w:p w14:paraId="2D352B0D" w14:textId="77777777" w:rsidR="00AC43DA" w:rsidRDefault="00303B2C">
            <w:pPr>
              <w:pStyle w:val="TableParagraph"/>
              <w:spacing w:before="6"/>
              <w:ind w:left="263" w:right="239"/>
              <w:jc w:val="center"/>
              <w:rPr>
                <w:sz w:val="18"/>
              </w:rPr>
            </w:pPr>
            <w:r>
              <w:rPr>
                <w:sz w:val="18"/>
              </w:rPr>
              <w:t>100%)</w:t>
            </w:r>
          </w:p>
        </w:tc>
        <w:tc>
          <w:tcPr>
            <w:tcW w:w="1512" w:type="dxa"/>
          </w:tcPr>
          <w:p w14:paraId="6BC15EF9" w14:textId="77777777" w:rsidR="00AC43DA" w:rsidRDefault="00303B2C">
            <w:pPr>
              <w:pStyle w:val="TableParagraph"/>
              <w:spacing w:before="9"/>
              <w:ind w:left="262" w:right="236"/>
              <w:jc w:val="center"/>
              <w:rPr>
                <w:sz w:val="18"/>
              </w:rPr>
            </w:pPr>
            <w:r>
              <w:rPr>
                <w:sz w:val="18"/>
              </w:rPr>
              <w:t>100% (95%</w:t>
            </w:r>
          </w:p>
          <w:p w14:paraId="74655AB5" w14:textId="77777777" w:rsidR="00AC43DA" w:rsidRDefault="00303B2C">
            <w:pPr>
              <w:pStyle w:val="TableParagraph"/>
              <w:spacing w:before="7"/>
              <w:ind w:left="264" w:right="236"/>
              <w:jc w:val="center"/>
              <w:rPr>
                <w:sz w:val="18"/>
              </w:rPr>
            </w:pPr>
            <w:r>
              <w:rPr>
                <w:sz w:val="18"/>
              </w:rPr>
              <w:t>CI: 97.47%-</w:t>
            </w:r>
          </w:p>
          <w:p w14:paraId="6F55D374" w14:textId="77777777" w:rsidR="00AC43DA" w:rsidRDefault="00303B2C">
            <w:pPr>
              <w:pStyle w:val="TableParagraph"/>
              <w:spacing w:before="6"/>
              <w:ind w:left="264" w:right="235"/>
              <w:jc w:val="center"/>
              <w:rPr>
                <w:sz w:val="18"/>
              </w:rPr>
            </w:pPr>
            <w:r>
              <w:rPr>
                <w:sz w:val="18"/>
              </w:rPr>
              <w:t>100%)</w:t>
            </w:r>
          </w:p>
        </w:tc>
      </w:tr>
      <w:tr w:rsidR="00AC43DA" w14:paraId="5AD3D40D" w14:textId="77777777">
        <w:trPr>
          <w:trHeight w:val="688"/>
        </w:trPr>
        <w:tc>
          <w:tcPr>
            <w:tcW w:w="1301" w:type="dxa"/>
          </w:tcPr>
          <w:p w14:paraId="28866CFF" w14:textId="688310E8" w:rsidR="00AC43DA" w:rsidRDefault="003D5103">
            <w:pPr>
              <w:pStyle w:val="TableParagraph"/>
              <w:ind w:left="194" w:right="225" w:hanging="51"/>
              <w:rPr>
                <w:sz w:val="18"/>
              </w:rPr>
            </w:pPr>
            <w:r w:rsidRPr="003D5103">
              <w:rPr>
                <w:spacing w:val="-2"/>
                <w:sz w:val="18"/>
              </w:rPr>
              <w:t>HСV RNA</w:t>
            </w:r>
          </w:p>
        </w:tc>
        <w:tc>
          <w:tcPr>
            <w:tcW w:w="1404" w:type="dxa"/>
          </w:tcPr>
          <w:p w14:paraId="48104B34" w14:textId="77777777" w:rsidR="00AC43DA" w:rsidRDefault="00AC43DA">
            <w:pPr>
              <w:pStyle w:val="TableParagraph"/>
              <w:spacing w:before="6"/>
              <w:ind w:left="0"/>
              <w:rPr>
                <w:sz w:val="18"/>
              </w:rPr>
            </w:pPr>
          </w:p>
          <w:p w14:paraId="3421D831" w14:textId="77777777" w:rsidR="00AC43DA" w:rsidRDefault="00303B2C">
            <w:pPr>
              <w:pStyle w:val="TableParagraph"/>
              <w:ind w:left="598" w:right="575"/>
              <w:jc w:val="center"/>
              <w:rPr>
                <w:sz w:val="18"/>
              </w:rPr>
            </w:pPr>
            <w:r>
              <w:rPr>
                <w:sz w:val="18"/>
              </w:rPr>
              <w:t>82</w:t>
            </w:r>
          </w:p>
        </w:tc>
        <w:tc>
          <w:tcPr>
            <w:tcW w:w="1298" w:type="dxa"/>
          </w:tcPr>
          <w:p w14:paraId="116FA286" w14:textId="77777777" w:rsidR="00AC43DA" w:rsidRDefault="00AC43DA">
            <w:pPr>
              <w:pStyle w:val="TableParagraph"/>
              <w:spacing w:before="6"/>
              <w:ind w:left="0"/>
              <w:rPr>
                <w:sz w:val="18"/>
              </w:rPr>
            </w:pPr>
          </w:p>
          <w:p w14:paraId="02BAB68A" w14:textId="77777777" w:rsidR="00AC43DA" w:rsidRDefault="00303B2C">
            <w:pPr>
              <w:pStyle w:val="TableParagraph"/>
              <w:ind w:left="501" w:right="477"/>
              <w:jc w:val="center"/>
              <w:rPr>
                <w:sz w:val="18"/>
              </w:rPr>
            </w:pPr>
            <w:r>
              <w:rPr>
                <w:sz w:val="18"/>
              </w:rPr>
              <w:t>142</w:t>
            </w:r>
          </w:p>
        </w:tc>
        <w:tc>
          <w:tcPr>
            <w:tcW w:w="1517" w:type="dxa"/>
          </w:tcPr>
          <w:p w14:paraId="4FF98707" w14:textId="77777777" w:rsidR="00AC43DA" w:rsidRDefault="00303B2C">
            <w:pPr>
              <w:pStyle w:val="TableParagraph"/>
              <w:spacing w:before="9"/>
              <w:ind w:left="265" w:right="239"/>
              <w:jc w:val="center"/>
              <w:rPr>
                <w:sz w:val="18"/>
              </w:rPr>
            </w:pPr>
            <w:r>
              <w:rPr>
                <w:sz w:val="18"/>
              </w:rPr>
              <w:t>100% (95%</w:t>
            </w:r>
          </w:p>
          <w:p w14:paraId="32BDE88B" w14:textId="77777777" w:rsidR="00AC43DA" w:rsidRDefault="00303B2C">
            <w:pPr>
              <w:pStyle w:val="TableParagraph"/>
              <w:spacing w:before="7"/>
              <w:ind w:left="266" w:right="239"/>
              <w:jc w:val="center"/>
              <w:rPr>
                <w:sz w:val="18"/>
              </w:rPr>
            </w:pPr>
            <w:r>
              <w:rPr>
                <w:sz w:val="18"/>
              </w:rPr>
              <w:t>CI: 95.60%-</w:t>
            </w:r>
          </w:p>
          <w:p w14:paraId="3A8EF48A" w14:textId="77777777" w:rsidR="00AC43DA" w:rsidRDefault="00303B2C">
            <w:pPr>
              <w:pStyle w:val="TableParagraph"/>
              <w:spacing w:before="6"/>
              <w:ind w:left="263" w:right="239"/>
              <w:jc w:val="center"/>
              <w:rPr>
                <w:sz w:val="18"/>
              </w:rPr>
            </w:pPr>
            <w:r>
              <w:rPr>
                <w:sz w:val="18"/>
              </w:rPr>
              <w:t>100%)</w:t>
            </w:r>
          </w:p>
        </w:tc>
        <w:tc>
          <w:tcPr>
            <w:tcW w:w="1512" w:type="dxa"/>
          </w:tcPr>
          <w:p w14:paraId="19481605" w14:textId="77777777" w:rsidR="00AC43DA" w:rsidRDefault="00303B2C">
            <w:pPr>
              <w:pStyle w:val="TableParagraph"/>
              <w:spacing w:before="9"/>
              <w:ind w:left="262" w:right="236"/>
              <w:jc w:val="center"/>
              <w:rPr>
                <w:sz w:val="18"/>
              </w:rPr>
            </w:pPr>
            <w:r>
              <w:rPr>
                <w:sz w:val="18"/>
              </w:rPr>
              <w:t>100% (95%</w:t>
            </w:r>
          </w:p>
          <w:p w14:paraId="7D818705" w14:textId="77777777" w:rsidR="00AC43DA" w:rsidRDefault="00303B2C">
            <w:pPr>
              <w:pStyle w:val="TableParagraph"/>
              <w:spacing w:before="7"/>
              <w:ind w:left="264" w:right="236"/>
              <w:jc w:val="center"/>
              <w:rPr>
                <w:sz w:val="18"/>
              </w:rPr>
            </w:pPr>
            <w:r>
              <w:rPr>
                <w:sz w:val="18"/>
              </w:rPr>
              <w:t>CI: 97.44%-</w:t>
            </w:r>
          </w:p>
          <w:p w14:paraId="6D25B669" w14:textId="77777777" w:rsidR="00AC43DA" w:rsidRDefault="00303B2C">
            <w:pPr>
              <w:pStyle w:val="TableParagraph"/>
              <w:spacing w:before="6"/>
              <w:ind w:left="264" w:right="235"/>
              <w:jc w:val="center"/>
              <w:rPr>
                <w:sz w:val="18"/>
              </w:rPr>
            </w:pPr>
            <w:r>
              <w:rPr>
                <w:sz w:val="18"/>
              </w:rPr>
              <w:t>100%)</w:t>
            </w:r>
          </w:p>
        </w:tc>
      </w:tr>
      <w:tr w:rsidR="00AC43DA" w14:paraId="32243608" w14:textId="77777777">
        <w:trPr>
          <w:trHeight w:val="690"/>
        </w:trPr>
        <w:tc>
          <w:tcPr>
            <w:tcW w:w="1301" w:type="dxa"/>
          </w:tcPr>
          <w:p w14:paraId="0B7AE4F2" w14:textId="6B694E52" w:rsidR="00AC43DA" w:rsidRDefault="003D5103">
            <w:pPr>
              <w:pStyle w:val="TableParagraph"/>
              <w:spacing w:line="237" w:lineRule="auto"/>
              <w:ind w:left="189" w:right="219" w:hanging="44"/>
              <w:rPr>
                <w:sz w:val="18"/>
              </w:rPr>
            </w:pPr>
            <w:r w:rsidRPr="003D5103">
              <w:rPr>
                <w:spacing w:val="-1"/>
                <w:sz w:val="18"/>
              </w:rPr>
              <w:t>HDV RNA</w:t>
            </w:r>
          </w:p>
        </w:tc>
        <w:tc>
          <w:tcPr>
            <w:tcW w:w="1404" w:type="dxa"/>
          </w:tcPr>
          <w:p w14:paraId="04ADD2D0" w14:textId="77777777" w:rsidR="00AC43DA" w:rsidRDefault="00AC43DA">
            <w:pPr>
              <w:pStyle w:val="TableParagraph"/>
              <w:spacing w:before="6"/>
              <w:ind w:left="0"/>
              <w:rPr>
                <w:sz w:val="18"/>
              </w:rPr>
            </w:pPr>
          </w:p>
          <w:p w14:paraId="1B7D2033" w14:textId="77777777" w:rsidR="00AC43DA" w:rsidRDefault="00303B2C">
            <w:pPr>
              <w:pStyle w:val="TableParagraph"/>
              <w:ind w:left="598" w:right="575"/>
              <w:jc w:val="center"/>
              <w:rPr>
                <w:sz w:val="18"/>
              </w:rPr>
            </w:pPr>
            <w:r>
              <w:rPr>
                <w:sz w:val="18"/>
              </w:rPr>
              <w:t>20</w:t>
            </w:r>
          </w:p>
        </w:tc>
        <w:tc>
          <w:tcPr>
            <w:tcW w:w="1298" w:type="dxa"/>
          </w:tcPr>
          <w:p w14:paraId="2A490591" w14:textId="77777777" w:rsidR="00AC43DA" w:rsidRDefault="00AC43DA">
            <w:pPr>
              <w:pStyle w:val="TableParagraph"/>
              <w:spacing w:before="6"/>
              <w:ind w:left="0"/>
              <w:rPr>
                <w:sz w:val="18"/>
              </w:rPr>
            </w:pPr>
          </w:p>
          <w:p w14:paraId="4E6758A0" w14:textId="77777777" w:rsidR="00AC43DA" w:rsidRDefault="00303B2C">
            <w:pPr>
              <w:pStyle w:val="TableParagraph"/>
              <w:ind w:left="501" w:right="477"/>
              <w:jc w:val="center"/>
              <w:rPr>
                <w:sz w:val="18"/>
              </w:rPr>
            </w:pPr>
            <w:r>
              <w:rPr>
                <w:sz w:val="18"/>
              </w:rPr>
              <w:t>204</w:t>
            </w:r>
          </w:p>
        </w:tc>
        <w:tc>
          <w:tcPr>
            <w:tcW w:w="1517" w:type="dxa"/>
          </w:tcPr>
          <w:p w14:paraId="6DBFE0DE" w14:textId="77777777" w:rsidR="00AC43DA" w:rsidRDefault="00303B2C">
            <w:pPr>
              <w:pStyle w:val="TableParagraph"/>
              <w:spacing w:before="11"/>
              <w:ind w:left="265" w:right="239"/>
              <w:jc w:val="center"/>
              <w:rPr>
                <w:sz w:val="18"/>
              </w:rPr>
            </w:pPr>
            <w:r>
              <w:rPr>
                <w:sz w:val="18"/>
              </w:rPr>
              <w:t>100% (95%</w:t>
            </w:r>
          </w:p>
          <w:p w14:paraId="75229051" w14:textId="77777777" w:rsidR="00AC43DA" w:rsidRDefault="00303B2C">
            <w:pPr>
              <w:pStyle w:val="TableParagraph"/>
              <w:spacing w:before="21"/>
              <w:ind w:left="266" w:right="239"/>
              <w:jc w:val="center"/>
              <w:rPr>
                <w:sz w:val="18"/>
              </w:rPr>
            </w:pPr>
            <w:r>
              <w:rPr>
                <w:sz w:val="18"/>
              </w:rPr>
              <w:t>CI: 83.16%-</w:t>
            </w:r>
          </w:p>
          <w:p w14:paraId="4A077461" w14:textId="77777777" w:rsidR="00AC43DA" w:rsidRDefault="00303B2C">
            <w:pPr>
              <w:pStyle w:val="TableParagraph"/>
              <w:spacing w:before="12"/>
              <w:ind w:left="263" w:right="239"/>
              <w:jc w:val="center"/>
              <w:rPr>
                <w:sz w:val="18"/>
              </w:rPr>
            </w:pPr>
            <w:r>
              <w:rPr>
                <w:sz w:val="18"/>
              </w:rPr>
              <w:t>100%)</w:t>
            </w:r>
          </w:p>
        </w:tc>
        <w:tc>
          <w:tcPr>
            <w:tcW w:w="1512" w:type="dxa"/>
          </w:tcPr>
          <w:p w14:paraId="1B0877F2" w14:textId="77777777" w:rsidR="00AC43DA" w:rsidRDefault="00303B2C">
            <w:pPr>
              <w:pStyle w:val="TableParagraph"/>
              <w:spacing w:before="11"/>
              <w:ind w:left="262" w:right="236"/>
              <w:jc w:val="center"/>
              <w:rPr>
                <w:sz w:val="18"/>
              </w:rPr>
            </w:pPr>
            <w:r>
              <w:rPr>
                <w:sz w:val="18"/>
              </w:rPr>
              <w:t>100% (95%</w:t>
            </w:r>
          </w:p>
          <w:p w14:paraId="2EEE3610" w14:textId="77777777" w:rsidR="00AC43DA" w:rsidRDefault="00303B2C">
            <w:pPr>
              <w:pStyle w:val="TableParagraph"/>
              <w:spacing w:before="21"/>
              <w:ind w:left="264" w:right="236"/>
              <w:jc w:val="center"/>
              <w:rPr>
                <w:sz w:val="18"/>
              </w:rPr>
            </w:pPr>
            <w:r>
              <w:rPr>
                <w:sz w:val="18"/>
              </w:rPr>
              <w:t>CI: 98.21%-</w:t>
            </w:r>
          </w:p>
          <w:p w14:paraId="039CD1AB" w14:textId="77777777" w:rsidR="00AC43DA" w:rsidRDefault="00303B2C">
            <w:pPr>
              <w:pStyle w:val="TableParagraph"/>
              <w:spacing w:before="12"/>
              <w:ind w:left="264" w:right="235"/>
              <w:jc w:val="center"/>
              <w:rPr>
                <w:sz w:val="18"/>
              </w:rPr>
            </w:pPr>
            <w:r>
              <w:rPr>
                <w:sz w:val="18"/>
              </w:rPr>
              <w:t>100%)</w:t>
            </w:r>
          </w:p>
        </w:tc>
      </w:tr>
    </w:tbl>
    <w:p w14:paraId="3239B17D" w14:textId="77777777" w:rsidR="00AC43DA" w:rsidRDefault="00AC43DA">
      <w:pPr>
        <w:jc w:val="center"/>
        <w:rPr>
          <w:sz w:val="18"/>
        </w:rPr>
        <w:sectPr w:rsidR="00AC43DA">
          <w:pgSz w:w="8400" w:h="11920"/>
          <w:pgMar w:top="680" w:right="240" w:bottom="640" w:left="380" w:header="0" w:footer="378" w:gutter="0"/>
          <w:cols w:space="720"/>
        </w:sectPr>
      </w:pPr>
    </w:p>
    <w:p w14:paraId="6A5AE76B" w14:textId="77777777" w:rsidR="00AC43DA" w:rsidRDefault="00303B2C">
      <w:pPr>
        <w:pStyle w:val="1"/>
        <w:numPr>
          <w:ilvl w:val="2"/>
          <w:numId w:val="15"/>
        </w:numPr>
        <w:tabs>
          <w:tab w:val="left" w:pos="1392"/>
        </w:tabs>
        <w:spacing w:before="64" w:line="275" w:lineRule="exact"/>
        <w:ind w:left="1391" w:hanging="500"/>
      </w:pPr>
      <w:r>
        <w:lastRenderedPageBreak/>
        <w:t>Cross-reactivity assessment</w:t>
      </w:r>
    </w:p>
    <w:p w14:paraId="3C6CDA00" w14:textId="77777777" w:rsidR="00AC43DA" w:rsidRPr="001227B6" w:rsidRDefault="00303B2C">
      <w:pPr>
        <w:pStyle w:val="a3"/>
        <w:ind w:right="340"/>
        <w:rPr>
          <w:lang w:val="en-US"/>
        </w:rPr>
      </w:pPr>
      <w:r w:rsidRPr="001227B6">
        <w:rPr>
          <w:lang w:val="en-US"/>
        </w:rPr>
        <w:t>To assess cross-reactivity in clinical trials, the tested set of reagents “HEPA-BCD-test” also tested 35 samples that were truly negative, not containing the test analytes, but with confirmed, registered medical devices, presence of the following microorganisms: HIV-1 – 2 samples , adenovirus type 5 – 3 samples, varicella zoster virus – 1 sample, cytomegalovirus – 2 samples, Staphylococcus aureus – 5 samples, Epstein-Barr virus – 2 samples, hepatitis A virus – 2 samples, T-cell lymphotropic human virus type 2 – 2 samples, human herpes virus, type 6 – 2 samples, human papillomavirus – 3 samples, herpes simplex virus, type 1 – 4 samples, herpes simplex virus, type 2 – 3 samples.</w:t>
      </w:r>
      <w:bookmarkStart w:id="7" w:name="_bookmark5"/>
      <w:bookmarkEnd w:id="7"/>
    </w:p>
    <w:p w14:paraId="36F3FB95" w14:textId="77777777" w:rsidR="00AC43DA" w:rsidRPr="001227B6" w:rsidRDefault="00303B2C">
      <w:pPr>
        <w:pStyle w:val="a3"/>
        <w:ind w:right="347"/>
        <w:rPr>
          <w:lang w:val="en-US"/>
        </w:rPr>
      </w:pPr>
      <w:r w:rsidRPr="001227B6">
        <w:rPr>
          <w:lang w:val="en-US"/>
        </w:rPr>
        <w:t>No cross-reactivity was observed and no nonspecific reactions were detected.</w:t>
      </w:r>
    </w:p>
    <w:p w14:paraId="490744D7" w14:textId="77777777" w:rsidR="00AC43DA" w:rsidRDefault="00303B2C">
      <w:pPr>
        <w:pStyle w:val="1"/>
        <w:numPr>
          <w:ilvl w:val="2"/>
          <w:numId w:val="15"/>
        </w:numPr>
        <w:tabs>
          <w:tab w:val="left" w:pos="1392"/>
        </w:tabs>
        <w:spacing w:line="256" w:lineRule="exact"/>
        <w:ind w:left="1391" w:hanging="500"/>
      </w:pPr>
      <w:r>
        <w:t>Specificity assessment</w:t>
      </w:r>
    </w:p>
    <w:p w14:paraId="36E8D169" w14:textId="73DFB08F" w:rsidR="00AC43DA" w:rsidRPr="001227B6" w:rsidRDefault="00303B2C">
      <w:pPr>
        <w:pStyle w:val="a3"/>
        <w:ind w:right="341"/>
        <w:rPr>
          <w:lang w:val="en-US"/>
        </w:rPr>
      </w:pPr>
      <w:r w:rsidRPr="001227B6">
        <w:rPr>
          <w:lang w:val="en-US"/>
        </w:rPr>
        <w:t xml:space="preserve">The specificity of the “Kit of reagents for the simultaneous qualitative detection of </w:t>
      </w:r>
      <w:r w:rsidR="005D71E3">
        <w:rPr>
          <w:lang w:val="en-US"/>
        </w:rPr>
        <w:t>NA</w:t>
      </w:r>
      <w:r w:rsidRPr="001227B6">
        <w:rPr>
          <w:lang w:val="en-US"/>
        </w:rPr>
        <w:t xml:space="preserve"> viruses of hepatitis B, C, D using the multiplex </w:t>
      </w:r>
      <w:r w:rsidR="005D71E3">
        <w:rPr>
          <w:lang w:val="en-US"/>
        </w:rPr>
        <w:t>RT-PCR</w:t>
      </w:r>
      <w:r w:rsidRPr="001227B6">
        <w:rPr>
          <w:lang w:val="en-US"/>
        </w:rPr>
        <w:t xml:space="preserve"> “HEPA-BCD-test”, produced by TestGen LLC, was determined by testing negative content of </w:t>
      </w:r>
      <w:r w:rsidR="005D71E3">
        <w:rPr>
          <w:lang w:val="en-US"/>
        </w:rPr>
        <w:t>NA</w:t>
      </w:r>
      <w:r w:rsidRPr="001227B6">
        <w:rPr>
          <w:lang w:val="en-US"/>
        </w:rPr>
        <w:t xml:space="preserve"> viruses of hepatitis B, C, D samples from individual donors and pregnant women.</w:t>
      </w:r>
    </w:p>
    <w:p w14:paraId="1E5EEB28" w14:textId="776068EA" w:rsidR="00AC43DA" w:rsidRPr="001227B6" w:rsidRDefault="00303B2C" w:rsidP="003D5103">
      <w:pPr>
        <w:pStyle w:val="a3"/>
        <w:ind w:right="340"/>
        <w:rPr>
          <w:lang w:val="en-US"/>
        </w:rPr>
      </w:pPr>
      <w:r w:rsidRPr="001227B6">
        <w:rPr>
          <w:lang w:val="en-US"/>
        </w:rPr>
        <w:t xml:space="preserve">A total of 54 K2-EDTA blood plasma samples were tested using the “HEPA-BCD-test” reagent kit. 54 samples of K2-EDTA blood plasma turned out to be negative for the content of </w:t>
      </w:r>
      <w:r w:rsidR="005D71E3">
        <w:rPr>
          <w:lang w:val="en-US"/>
        </w:rPr>
        <w:t>NA</w:t>
      </w:r>
      <w:r w:rsidRPr="001227B6">
        <w:rPr>
          <w:lang w:val="en-US"/>
        </w:rPr>
        <w:t xml:space="preserve"> viruses of hepatitis B, C, D. When testing this panel of samples, the specificity of the HEPA-BCD test was 100.0</w:t>
      </w:r>
      <w:r w:rsidR="003D5103">
        <w:rPr>
          <w:lang w:val="en-US"/>
        </w:rPr>
        <w:t xml:space="preserve"> </w:t>
      </w:r>
      <w:r w:rsidRPr="001227B6">
        <w:rPr>
          <w:lang w:val="en-US"/>
        </w:rPr>
        <w:t>% (with a one-sided 95% confidence interval of 99.5%). The lower limit of the 95% confidence interval for specificity was determined by the method of Clopper-Pearson Confidience Interval; Clopper, C., &amp; Pearson, E. (1934). The Use of Confidence or Fiducial Limits Illustrated in the Case of the Binomial. Biometrika, 26(4), 404-413. doi:10.2307/2331986).</w:t>
      </w:r>
    </w:p>
    <w:p w14:paraId="3A70185A" w14:textId="77777777" w:rsidR="00AC43DA" w:rsidRPr="001227B6" w:rsidRDefault="00303B2C">
      <w:pPr>
        <w:pStyle w:val="a3"/>
        <w:spacing w:before="1"/>
        <w:ind w:right="346"/>
        <w:rPr>
          <w:lang w:val="en-US"/>
        </w:rPr>
      </w:pPr>
      <w:r w:rsidRPr="001227B6">
        <w:rPr>
          <w:lang w:val="en-US"/>
        </w:rPr>
        <w:t>To conduct a PCR study with the “HEPA-BCD-test” reagent kit, the amplifiers recommended by the manufacturer of the reagent kit under study were used:</w:t>
      </w:r>
    </w:p>
    <w:p w14:paraId="7962FEB9" w14:textId="77777777" w:rsidR="00AC43DA" w:rsidRPr="001227B6" w:rsidRDefault="00AC43DA">
      <w:pPr>
        <w:rPr>
          <w:lang w:val="en-US"/>
        </w:rPr>
        <w:sectPr w:rsidR="00AC43DA" w:rsidRPr="001227B6">
          <w:pgSz w:w="8400" w:h="11920"/>
          <w:pgMar w:top="660" w:right="240" w:bottom="620" w:left="380" w:header="0" w:footer="378" w:gutter="0"/>
          <w:cols w:space="720"/>
        </w:sectPr>
      </w:pPr>
    </w:p>
    <w:p w14:paraId="65D2EABA" w14:textId="77777777" w:rsidR="00AC43DA" w:rsidRPr="001227B6" w:rsidRDefault="00303B2C">
      <w:pPr>
        <w:pStyle w:val="a6"/>
        <w:numPr>
          <w:ilvl w:val="0"/>
          <w:numId w:val="14"/>
        </w:numPr>
        <w:tabs>
          <w:tab w:val="left" w:pos="1133"/>
        </w:tabs>
        <w:spacing w:before="68"/>
        <w:ind w:right="342" w:firstLine="564"/>
        <w:jc w:val="left"/>
        <w:rPr>
          <w:sz w:val="24"/>
          <w:lang w:val="en-US"/>
        </w:rPr>
      </w:pPr>
      <w:bookmarkStart w:id="8" w:name="_bookmark6"/>
      <w:bookmarkEnd w:id="8"/>
      <w:r w:rsidRPr="001227B6">
        <w:rPr>
          <w:sz w:val="24"/>
          <w:lang w:val="en-US"/>
        </w:rPr>
        <w:lastRenderedPageBreak/>
        <w:t>Detecting amplifier DTprime (NPO DNA-Technology LLC, Russia);</w:t>
      </w:r>
    </w:p>
    <w:p w14:paraId="6783D495" w14:textId="77777777" w:rsidR="00AC43DA" w:rsidRPr="001227B6" w:rsidRDefault="00303B2C">
      <w:pPr>
        <w:pStyle w:val="a6"/>
        <w:numPr>
          <w:ilvl w:val="0"/>
          <w:numId w:val="14"/>
        </w:numPr>
        <w:tabs>
          <w:tab w:val="left" w:pos="1023"/>
        </w:tabs>
        <w:spacing w:before="1" w:line="265" w:lineRule="exact"/>
        <w:ind w:left="1022" w:hanging="131"/>
        <w:jc w:val="left"/>
        <w:rPr>
          <w:sz w:val="24"/>
          <w:lang w:val="en-US"/>
        </w:rPr>
      </w:pPr>
      <w:r w:rsidRPr="001227B6">
        <w:rPr>
          <w:sz w:val="24"/>
          <w:lang w:val="en-US"/>
        </w:rPr>
        <w:t>Amplifier CFX 96 (Bio-Rad, USA);</w:t>
      </w:r>
    </w:p>
    <w:p w14:paraId="477F515D" w14:textId="77777777" w:rsidR="00AC43DA" w:rsidRPr="001227B6" w:rsidRDefault="00303B2C">
      <w:pPr>
        <w:pStyle w:val="a6"/>
        <w:numPr>
          <w:ilvl w:val="0"/>
          <w:numId w:val="14"/>
        </w:numPr>
        <w:tabs>
          <w:tab w:val="left" w:pos="1023"/>
        </w:tabs>
        <w:spacing w:line="253" w:lineRule="exact"/>
        <w:ind w:left="1022" w:hanging="131"/>
        <w:jc w:val="left"/>
        <w:rPr>
          <w:sz w:val="24"/>
          <w:lang w:val="en-US"/>
        </w:rPr>
      </w:pPr>
      <w:r w:rsidRPr="001227B6">
        <w:rPr>
          <w:sz w:val="24"/>
          <w:lang w:val="en-US"/>
        </w:rPr>
        <w:t>Rotor-Gene Q amplifier (Qiagen, Germany);</w:t>
      </w:r>
    </w:p>
    <w:p w14:paraId="7A613293" w14:textId="77777777" w:rsidR="00AC43DA" w:rsidRPr="002A70C2" w:rsidRDefault="00303B2C">
      <w:pPr>
        <w:pStyle w:val="a6"/>
        <w:numPr>
          <w:ilvl w:val="0"/>
          <w:numId w:val="14"/>
        </w:numPr>
        <w:tabs>
          <w:tab w:val="left" w:pos="1023"/>
        </w:tabs>
        <w:spacing w:line="264" w:lineRule="exact"/>
        <w:ind w:left="1022" w:hanging="131"/>
        <w:jc w:val="left"/>
        <w:rPr>
          <w:sz w:val="24"/>
          <w:lang w:val="en-US"/>
        </w:rPr>
      </w:pPr>
      <w:r w:rsidRPr="001227B6">
        <w:rPr>
          <w:sz w:val="24"/>
          <w:lang w:val="en-US"/>
        </w:rPr>
        <w:t>QuantStudio 5 amplifier (Thermo Fisher Scientific, USA).</w:t>
      </w:r>
    </w:p>
    <w:p w14:paraId="7DDE30C7" w14:textId="77777777" w:rsidR="00AC43DA" w:rsidRPr="002A70C2" w:rsidRDefault="00AC43DA">
      <w:pPr>
        <w:pStyle w:val="a3"/>
        <w:spacing w:before="2"/>
        <w:ind w:left="0" w:firstLine="0"/>
        <w:jc w:val="left"/>
        <w:rPr>
          <w:sz w:val="28"/>
          <w:lang w:val="en-US"/>
        </w:rPr>
      </w:pPr>
    </w:p>
    <w:p w14:paraId="50023A67" w14:textId="77777777" w:rsidR="00AC43DA" w:rsidRPr="001227B6" w:rsidRDefault="00303B2C">
      <w:pPr>
        <w:pStyle w:val="1"/>
        <w:ind w:left="3331" w:right="947" w:hanging="2413"/>
        <w:rPr>
          <w:lang w:val="en-US"/>
        </w:rPr>
      </w:pPr>
      <w:r w:rsidRPr="001227B6">
        <w:rPr>
          <w:lang w:val="en-US"/>
        </w:rPr>
        <w:t>5. List of risks associated with the use of the reagent kit</w:t>
      </w:r>
    </w:p>
    <w:p w14:paraId="008761DB" w14:textId="77777777" w:rsidR="00AC43DA" w:rsidRPr="001227B6" w:rsidRDefault="00303B2C">
      <w:pPr>
        <w:pStyle w:val="a3"/>
        <w:spacing w:line="271" w:lineRule="exact"/>
        <w:ind w:left="952" w:firstLine="0"/>
        <w:rPr>
          <w:lang w:val="en-US"/>
        </w:rPr>
      </w:pPr>
      <w:r w:rsidRPr="001227B6">
        <w:rPr>
          <w:lang w:val="en-US"/>
        </w:rPr>
        <w:t>The border risk zone includes the following hazards:</w:t>
      </w:r>
    </w:p>
    <w:p w14:paraId="64C1B944" w14:textId="77777777" w:rsidR="00AC43DA" w:rsidRPr="001227B6" w:rsidRDefault="00303B2C">
      <w:pPr>
        <w:pStyle w:val="a6"/>
        <w:numPr>
          <w:ilvl w:val="0"/>
          <w:numId w:val="13"/>
        </w:numPr>
        <w:tabs>
          <w:tab w:val="left" w:pos="1234"/>
        </w:tabs>
        <w:spacing w:before="3"/>
        <w:ind w:right="343" w:firstLine="568"/>
        <w:rPr>
          <w:sz w:val="24"/>
          <w:lang w:val="en-US"/>
        </w:rPr>
      </w:pPr>
      <w:r w:rsidRPr="001227B6">
        <w:rPr>
          <w:sz w:val="24"/>
          <w:lang w:val="en-US"/>
        </w:rPr>
        <w:t>Loss of functional properties of the reagents included in the kit due to transportation, storage or operation under inappropriate conditions;</w:t>
      </w:r>
    </w:p>
    <w:p w14:paraId="76ED5412" w14:textId="77777777" w:rsidR="00AC43DA" w:rsidRPr="001227B6" w:rsidRDefault="00303B2C">
      <w:pPr>
        <w:pStyle w:val="a6"/>
        <w:numPr>
          <w:ilvl w:val="0"/>
          <w:numId w:val="13"/>
        </w:numPr>
        <w:tabs>
          <w:tab w:val="left" w:pos="1234"/>
        </w:tabs>
        <w:ind w:right="353" w:firstLine="568"/>
        <w:rPr>
          <w:sz w:val="24"/>
          <w:lang w:val="en-US"/>
        </w:rPr>
      </w:pPr>
      <w:r w:rsidRPr="001227B6">
        <w:rPr>
          <w:sz w:val="24"/>
          <w:lang w:val="en-US"/>
        </w:rPr>
        <w:t>Contamination of clinical material with inhibitory substances in concentrations exceeding permissible limits;</w:t>
      </w:r>
    </w:p>
    <w:p w14:paraId="09BF3133" w14:textId="4C8A06DE" w:rsidR="00AC43DA" w:rsidRPr="001227B6" w:rsidRDefault="00303B2C">
      <w:pPr>
        <w:pStyle w:val="a6"/>
        <w:numPr>
          <w:ilvl w:val="0"/>
          <w:numId w:val="13"/>
        </w:numPr>
        <w:tabs>
          <w:tab w:val="left" w:pos="1234"/>
        </w:tabs>
        <w:ind w:right="350" w:firstLine="568"/>
        <w:rPr>
          <w:sz w:val="24"/>
          <w:lang w:val="en-US"/>
        </w:rPr>
      </w:pPr>
      <w:r w:rsidRPr="001227B6">
        <w:rPr>
          <w:sz w:val="24"/>
          <w:lang w:val="en-US"/>
        </w:rPr>
        <w:t xml:space="preserve">Contamination of reaction mixtures and samples of the test NA with contents from the </w:t>
      </w:r>
      <w:r w:rsidR="002A5296">
        <w:rPr>
          <w:sz w:val="24"/>
          <w:lang w:val="en-US"/>
        </w:rPr>
        <w:t>PCS</w:t>
      </w:r>
      <w:r w:rsidRPr="001227B6">
        <w:rPr>
          <w:sz w:val="24"/>
          <w:lang w:val="en-US"/>
        </w:rPr>
        <w:t xml:space="preserve"> tube or amplification products;</w:t>
      </w:r>
    </w:p>
    <w:p w14:paraId="06CF3258" w14:textId="6EECB6D1" w:rsidR="00AC43DA" w:rsidRPr="001227B6" w:rsidRDefault="00303B2C">
      <w:pPr>
        <w:pStyle w:val="a6"/>
        <w:numPr>
          <w:ilvl w:val="0"/>
          <w:numId w:val="13"/>
        </w:numPr>
        <w:tabs>
          <w:tab w:val="left" w:pos="1234"/>
        </w:tabs>
        <w:spacing w:before="1"/>
        <w:ind w:right="352" w:firstLine="568"/>
        <w:rPr>
          <w:sz w:val="24"/>
          <w:lang w:val="en-US"/>
        </w:rPr>
      </w:pPr>
      <w:r w:rsidRPr="001227B6">
        <w:rPr>
          <w:sz w:val="24"/>
          <w:lang w:val="en-US"/>
        </w:rPr>
        <w:t xml:space="preserve">Conducting an analysis using a low quality </w:t>
      </w:r>
      <w:r w:rsidR="005D71E3">
        <w:rPr>
          <w:sz w:val="24"/>
          <w:lang w:val="en-US"/>
        </w:rPr>
        <w:t>NA</w:t>
      </w:r>
      <w:r w:rsidRPr="001227B6">
        <w:rPr>
          <w:sz w:val="24"/>
          <w:lang w:val="en-US"/>
        </w:rPr>
        <w:t xml:space="preserve"> sample (low concentration and/or poor purification);</w:t>
      </w:r>
    </w:p>
    <w:p w14:paraId="55CB1204" w14:textId="77777777" w:rsidR="00AC43DA" w:rsidRPr="001227B6" w:rsidRDefault="00303B2C">
      <w:pPr>
        <w:pStyle w:val="a6"/>
        <w:numPr>
          <w:ilvl w:val="0"/>
          <w:numId w:val="13"/>
        </w:numPr>
        <w:tabs>
          <w:tab w:val="left" w:pos="1234"/>
        </w:tabs>
        <w:ind w:right="346" w:firstLine="568"/>
        <w:rPr>
          <w:sz w:val="24"/>
          <w:lang w:val="en-US"/>
        </w:rPr>
      </w:pPr>
      <w:r w:rsidRPr="001227B6">
        <w:rPr>
          <w:sz w:val="24"/>
          <w:lang w:val="en-US"/>
        </w:rPr>
        <w:t>Failure to comply with the requirements for sample preparation, analysis and disposal due to work with the recruitment of unqualified personnel;</w:t>
      </w:r>
    </w:p>
    <w:p w14:paraId="6A7EF832" w14:textId="77777777" w:rsidR="00AC43DA" w:rsidRPr="001227B6" w:rsidRDefault="00303B2C">
      <w:pPr>
        <w:pStyle w:val="a6"/>
        <w:numPr>
          <w:ilvl w:val="0"/>
          <w:numId w:val="13"/>
        </w:numPr>
        <w:tabs>
          <w:tab w:val="left" w:pos="1234"/>
        </w:tabs>
        <w:ind w:right="347" w:firstLine="568"/>
        <w:rPr>
          <w:sz w:val="24"/>
          <w:lang w:val="en-US"/>
        </w:rPr>
      </w:pPr>
      <w:r w:rsidRPr="001227B6">
        <w:rPr>
          <w:sz w:val="24"/>
          <w:lang w:val="en-US"/>
        </w:rPr>
        <w:t>Using a kit that is unsuitable for use (use after the expiration date or if the packaging is damaged).</w:t>
      </w:r>
    </w:p>
    <w:p w14:paraId="240480B7" w14:textId="228A32E1" w:rsidR="00AC43DA" w:rsidRPr="001227B6" w:rsidRDefault="00303B2C">
      <w:pPr>
        <w:pStyle w:val="a3"/>
        <w:ind w:left="952" w:firstLine="0"/>
        <w:rPr>
          <w:lang w:val="en-US"/>
        </w:rPr>
      </w:pPr>
      <w:r w:rsidRPr="001227B6">
        <w:rPr>
          <w:lang w:val="en-US"/>
        </w:rPr>
        <w:t>No risks were identified in the area of the unacceptable zone.</w:t>
      </w:r>
    </w:p>
    <w:p w14:paraId="5BCAAB32" w14:textId="2C9BD90E" w:rsidR="00AC43DA" w:rsidRPr="001227B6" w:rsidRDefault="00303B2C" w:rsidP="003D5103">
      <w:pPr>
        <w:pStyle w:val="a3"/>
        <w:ind w:left="383" w:right="342" w:firstLine="568"/>
        <w:rPr>
          <w:lang w:val="en-US"/>
        </w:rPr>
      </w:pPr>
      <w:r w:rsidRPr="001227B6">
        <w:rPr>
          <w:lang w:val="en-US"/>
        </w:rPr>
        <w:t>The total residual risk of using the medical product “</w:t>
      </w:r>
      <w:r w:rsidR="003D5103" w:rsidRPr="003D5103">
        <w:rPr>
          <w:lang w:val="en-US"/>
        </w:rPr>
        <w:t>Reagent kit for simultaneous qualitative detection of NA viruses of hepatitis B, C, D by multiplex RT-PCR “HEPA-BCD-test”</w:t>
      </w:r>
      <w:r w:rsidRPr="001227B6">
        <w:rPr>
          <w:lang w:val="en-US"/>
        </w:rPr>
        <w:t>” is acceptable; the benefit of its use outweighs the risk.</w:t>
      </w:r>
    </w:p>
    <w:p w14:paraId="09167848" w14:textId="77777777" w:rsidR="00AC43DA" w:rsidRPr="001227B6" w:rsidRDefault="00AC43DA">
      <w:pPr>
        <w:rPr>
          <w:lang w:val="en-US"/>
        </w:rPr>
        <w:sectPr w:rsidR="00AC43DA" w:rsidRPr="001227B6">
          <w:pgSz w:w="8400" w:h="11920"/>
          <w:pgMar w:top="680" w:right="240" w:bottom="640" w:left="380" w:header="0" w:footer="378" w:gutter="0"/>
          <w:cols w:space="720"/>
        </w:sectPr>
      </w:pPr>
    </w:p>
    <w:p w14:paraId="3E1110D6" w14:textId="77777777" w:rsidR="00AC43DA" w:rsidRPr="001227B6" w:rsidRDefault="00303B2C">
      <w:pPr>
        <w:pStyle w:val="1"/>
        <w:spacing w:before="64"/>
        <w:ind w:left="1192"/>
        <w:rPr>
          <w:lang w:val="en-US"/>
        </w:rPr>
      </w:pPr>
      <w:r w:rsidRPr="001227B6">
        <w:rPr>
          <w:lang w:val="en-US"/>
        </w:rPr>
        <w:lastRenderedPageBreak/>
        <w:t>6. Precautions when working with the kit</w:t>
      </w:r>
    </w:p>
    <w:p w14:paraId="2FBFC1CD" w14:textId="77777777" w:rsidR="00AC43DA" w:rsidRPr="001227B6" w:rsidRDefault="00303B2C">
      <w:pPr>
        <w:pStyle w:val="a3"/>
        <w:spacing w:before="2"/>
        <w:ind w:right="341"/>
        <w:rPr>
          <w:lang w:val="en-US"/>
        </w:rPr>
      </w:pPr>
      <w:r w:rsidRPr="001227B6">
        <w:rPr>
          <w:lang w:val="en-US"/>
        </w:rPr>
        <w:t>Class depending on the potential risk of use - 3, in accordance with the nomenclature classification of medical devices, approved by order of the Ministry of Health of the Russian Federation dated 06.06.2012 N 4n.</w:t>
      </w:r>
    </w:p>
    <w:p w14:paraId="6A7AAA10" w14:textId="77777777" w:rsidR="00AC43DA" w:rsidRPr="001227B6" w:rsidRDefault="00303B2C">
      <w:pPr>
        <w:pStyle w:val="a3"/>
        <w:spacing w:before="1"/>
        <w:ind w:right="344"/>
        <w:rPr>
          <w:lang w:val="en-US"/>
        </w:rPr>
      </w:pPr>
      <w:r w:rsidRPr="001227B6">
        <w:rPr>
          <w:lang w:val="en-US"/>
        </w:rPr>
        <w:t>All components and reagents included in the “HEPA-BCD-test” reagent kit belong to hazard class 4 (low-hazard substances) in accordance with GOST 12.1.007-76 “SSBT. Harmful substances. Classification and general safety requirements."</w:t>
      </w:r>
    </w:p>
    <w:p w14:paraId="7EDB2AC9" w14:textId="77777777" w:rsidR="00AC43DA" w:rsidRPr="001227B6" w:rsidRDefault="00303B2C">
      <w:pPr>
        <w:pStyle w:val="a3"/>
        <w:spacing w:before="72"/>
        <w:ind w:right="349"/>
        <w:rPr>
          <w:lang w:val="en-US"/>
        </w:rPr>
      </w:pPr>
      <w:r w:rsidRPr="001227B6">
        <w:rPr>
          <w:lang w:val="en-US"/>
        </w:rPr>
        <w:t>The reagents included in the HEPA-BCD test kit have low vapor pressure and eliminate the possibility of inhalation poisoning.</w:t>
      </w:r>
    </w:p>
    <w:p w14:paraId="39054E57" w14:textId="77777777" w:rsidR="00AC43DA" w:rsidRPr="001227B6" w:rsidRDefault="00303B2C">
      <w:pPr>
        <w:pStyle w:val="a3"/>
        <w:ind w:right="342"/>
        <w:rPr>
          <w:lang w:val="en-US"/>
        </w:rPr>
      </w:pPr>
      <w:r w:rsidRPr="001227B6">
        <w:rPr>
          <w:lang w:val="en-US"/>
        </w:rPr>
        <w:t>The reagents included in the HEPA-BCD test kit are non-toxic because they are prepared by mixing individual non-toxic components.</w:t>
      </w:r>
    </w:p>
    <w:p w14:paraId="1B9B3A0C" w14:textId="77777777" w:rsidR="00AC43DA" w:rsidRPr="001227B6" w:rsidRDefault="00303B2C">
      <w:pPr>
        <w:pStyle w:val="a3"/>
        <w:ind w:right="342"/>
        <w:rPr>
          <w:lang w:val="en-US"/>
        </w:rPr>
      </w:pPr>
      <w:r w:rsidRPr="001227B6">
        <w:rPr>
          <w:lang w:val="en-US"/>
        </w:rPr>
        <w:t>Work with material that is contaminated or suspected of being contaminated is carried out in accordance with the requirements of SanPiN 3.3686-21 “Sanitary and epidemiological requirements for the prevention of infectious diseases”, MU “Organization of the work of laboratories using nucleic acid amplification methods when working with material containing microorganisms I– IV pathogenicity group" (MU 1.3.2569-09).</w:t>
      </w:r>
    </w:p>
    <w:p w14:paraId="2D0E9B0E" w14:textId="77777777" w:rsidR="00AC43DA" w:rsidRPr="001227B6" w:rsidRDefault="00303B2C">
      <w:pPr>
        <w:pStyle w:val="a3"/>
        <w:spacing w:before="1"/>
        <w:ind w:right="346"/>
        <w:rPr>
          <w:lang w:val="en-US"/>
        </w:rPr>
      </w:pPr>
      <w:r w:rsidRPr="001227B6">
        <w:rPr>
          <w:lang w:val="en-US"/>
        </w:rPr>
        <w:t>It is necessary to simultaneously provide and observe by personnel the rules of biological safety and the requirements for the organization and conduct of these works in order to prevent contamination of premises and equipment with nucleic acids and (or) amplicons of the studied samples.</w:t>
      </w:r>
    </w:p>
    <w:p w14:paraId="245F2082" w14:textId="77777777" w:rsidR="00AC43DA" w:rsidRPr="001227B6" w:rsidRDefault="00303B2C">
      <w:pPr>
        <w:pStyle w:val="a3"/>
        <w:spacing w:before="1"/>
        <w:ind w:right="342"/>
        <w:rPr>
          <w:lang w:val="en-US"/>
        </w:rPr>
      </w:pPr>
      <w:r w:rsidRPr="001227B6">
        <w:rPr>
          <w:lang w:val="en-US"/>
        </w:rPr>
        <w:t>The work should be carried out in a laboratory that performs molecular biological (PCR) studies of clinical material in compliance with sanitary and epidemiological rules SanPiN 2.1.3684-21 “Sanitary and epidemiological requirements for the maintenance of territories of urban and rural settlements, for water bodies, drinking water and drinking water supply , atmospheric air, soils, residential premises, operation of industrial and public premises, organization and implementation of sanitary and anti-epidemic (preventive)</w:t>
      </w:r>
    </w:p>
    <w:p w14:paraId="706EEC72" w14:textId="77777777" w:rsidR="00AC43DA" w:rsidRPr="001227B6" w:rsidRDefault="00AC43DA">
      <w:pPr>
        <w:rPr>
          <w:lang w:val="en-US"/>
        </w:rPr>
        <w:sectPr w:rsidR="00AC43DA" w:rsidRPr="001227B6">
          <w:pgSz w:w="8400" w:h="11920"/>
          <w:pgMar w:top="680" w:right="240" w:bottom="640" w:left="380" w:header="0" w:footer="378" w:gutter="0"/>
          <w:cols w:space="720"/>
        </w:sectPr>
      </w:pPr>
    </w:p>
    <w:p w14:paraId="6A71CDB8" w14:textId="77777777" w:rsidR="00AC43DA" w:rsidRPr="001227B6" w:rsidRDefault="00303B2C">
      <w:pPr>
        <w:pStyle w:val="a3"/>
        <w:spacing w:before="68"/>
        <w:ind w:firstLine="0"/>
        <w:rPr>
          <w:lang w:val="en-US"/>
        </w:rPr>
      </w:pPr>
      <w:r w:rsidRPr="001227B6">
        <w:rPr>
          <w:lang w:val="en-US"/>
        </w:rPr>
        <w:lastRenderedPageBreak/>
        <w:t>events." Follow the recommendations set out in the MU</w:t>
      </w:r>
    </w:p>
    <w:p w14:paraId="2AEDF2DF" w14:textId="77777777" w:rsidR="00AC43DA" w:rsidRPr="001227B6" w:rsidRDefault="00303B2C">
      <w:pPr>
        <w:pStyle w:val="a3"/>
        <w:spacing w:before="1"/>
        <w:ind w:right="342" w:firstLine="0"/>
        <w:rPr>
          <w:lang w:val="en-US"/>
        </w:rPr>
      </w:pPr>
      <w:r w:rsidRPr="001227B6">
        <w:rPr>
          <w:lang w:val="en-US"/>
        </w:rPr>
        <w:t>“Guidelines for disinfection, pre-sterilization cleaning and sterilization of medical devices” (MU 287-113), MU “Organization of the work of laboratories using nucleic acid amplification methods when working with material containing microorganisms of pathogenicity groups I–IV” (MU 1.3.2569 -09).</w:t>
      </w:r>
    </w:p>
    <w:p w14:paraId="058B257D" w14:textId="77777777" w:rsidR="00AC43DA" w:rsidRPr="001227B6" w:rsidRDefault="00303B2C" w:rsidP="003D5103">
      <w:pPr>
        <w:pStyle w:val="a3"/>
        <w:ind w:left="894" w:right="267" w:firstLine="0"/>
        <w:rPr>
          <w:lang w:val="en-US"/>
        </w:rPr>
      </w:pPr>
      <w:r w:rsidRPr="001227B6">
        <w:rPr>
          <w:lang w:val="en-US"/>
        </w:rPr>
        <w:t>When working, you should always comply with the following requirements:</w:t>
      </w:r>
    </w:p>
    <w:p w14:paraId="4629E308" w14:textId="77777777" w:rsidR="00AC43DA" w:rsidRPr="001227B6" w:rsidRDefault="00303B2C">
      <w:pPr>
        <w:pStyle w:val="a6"/>
        <w:numPr>
          <w:ilvl w:val="0"/>
          <w:numId w:val="12"/>
        </w:numPr>
        <w:tabs>
          <w:tab w:val="left" w:pos="1181"/>
        </w:tabs>
        <w:ind w:right="343" w:firstLine="564"/>
        <w:jc w:val="both"/>
        <w:rPr>
          <w:sz w:val="24"/>
          <w:lang w:val="en-US"/>
        </w:rPr>
      </w:pPr>
      <w:r w:rsidRPr="001227B6">
        <w:rPr>
          <w:sz w:val="24"/>
          <w:lang w:val="en-US"/>
        </w:rPr>
        <w:t>remove unused reagents in accordance with SanPiN 2.1.3684-21 “Sanitary and epidemiological requirements for the maintenance of territories of urban and rural settlements, water bodies, drinking water and drinking water supply, atmospheric air, soil, residential premises, operation of industrial, public premises, organization and carrying out sanitary and anti-epidemic (preventive) measures";</w:t>
      </w:r>
    </w:p>
    <w:p w14:paraId="4FF793B4" w14:textId="77777777" w:rsidR="00AC43DA" w:rsidRPr="001227B6" w:rsidRDefault="00303B2C">
      <w:pPr>
        <w:pStyle w:val="a6"/>
        <w:numPr>
          <w:ilvl w:val="0"/>
          <w:numId w:val="12"/>
        </w:numPr>
        <w:tabs>
          <w:tab w:val="left" w:pos="1181"/>
        </w:tabs>
        <w:spacing w:before="1"/>
        <w:ind w:right="343" w:firstLine="564"/>
        <w:jc w:val="both"/>
        <w:rPr>
          <w:sz w:val="24"/>
          <w:lang w:val="en-US"/>
        </w:rPr>
      </w:pPr>
      <w:r w:rsidRPr="001227B6">
        <w:rPr>
          <w:sz w:val="24"/>
          <w:lang w:val="en-US"/>
        </w:rPr>
        <w:t>when removing waste after amplification (tubes containing PCR products), opening the tubes and splashing the contents is unacceptable, as this can lead to contamination of the laboratory area, equipment and reagents with amplification products;</w:t>
      </w:r>
    </w:p>
    <w:p w14:paraId="67EA4C83" w14:textId="77777777" w:rsidR="00AC43DA" w:rsidRPr="001227B6" w:rsidRDefault="00303B2C">
      <w:pPr>
        <w:pStyle w:val="a6"/>
        <w:numPr>
          <w:ilvl w:val="0"/>
          <w:numId w:val="12"/>
        </w:numPr>
        <w:tabs>
          <w:tab w:val="left" w:pos="1181"/>
        </w:tabs>
        <w:spacing w:before="5" w:line="237" w:lineRule="auto"/>
        <w:ind w:right="356" w:firstLine="564"/>
        <w:jc w:val="both"/>
        <w:rPr>
          <w:sz w:val="24"/>
          <w:lang w:val="en-US"/>
        </w:rPr>
      </w:pPr>
      <w:r w:rsidRPr="001227B6">
        <w:rPr>
          <w:sz w:val="24"/>
          <w:lang w:val="en-US"/>
        </w:rPr>
        <w:t>use the kit strictly for its intended purpose, according to these instructions;</w:t>
      </w:r>
    </w:p>
    <w:p w14:paraId="22861B8D" w14:textId="77777777" w:rsidR="00AC43DA" w:rsidRPr="001227B6" w:rsidRDefault="00303B2C">
      <w:pPr>
        <w:pStyle w:val="a6"/>
        <w:numPr>
          <w:ilvl w:val="0"/>
          <w:numId w:val="12"/>
        </w:numPr>
        <w:tabs>
          <w:tab w:val="left" w:pos="1181"/>
        </w:tabs>
        <w:ind w:right="342" w:firstLine="564"/>
        <w:jc w:val="both"/>
        <w:rPr>
          <w:sz w:val="24"/>
          <w:lang w:val="en-US"/>
        </w:rPr>
      </w:pPr>
      <w:r w:rsidRPr="001227B6">
        <w:rPr>
          <w:sz w:val="24"/>
          <w:lang w:val="en-US"/>
        </w:rPr>
        <w:t>allow only specially trained personnel to work with the kit (a specialist with a higher medical education who has completed licensed specialization courses in working with pathogenic pathogens of groups I–II of pathogenicity and in PCR diagnostics, as well as a laboratory assistant with a secondary specialized medical education);</w:t>
      </w:r>
    </w:p>
    <w:p w14:paraId="0DDBC186" w14:textId="77777777" w:rsidR="00AC43DA" w:rsidRPr="001227B6" w:rsidRDefault="00303B2C">
      <w:pPr>
        <w:pStyle w:val="a6"/>
        <w:numPr>
          <w:ilvl w:val="0"/>
          <w:numId w:val="12"/>
        </w:numPr>
        <w:tabs>
          <w:tab w:val="left" w:pos="1181"/>
        </w:tabs>
        <w:spacing w:before="11"/>
        <w:ind w:left="1180" w:hanging="289"/>
        <w:jc w:val="both"/>
        <w:rPr>
          <w:sz w:val="24"/>
          <w:lang w:val="en-US"/>
        </w:rPr>
      </w:pPr>
      <w:r w:rsidRPr="001227B6">
        <w:rPr>
          <w:sz w:val="24"/>
          <w:lang w:val="en-US"/>
        </w:rPr>
        <w:t>do not use the kit after the expiration date;</w:t>
      </w:r>
    </w:p>
    <w:p w14:paraId="429BE83A" w14:textId="5B021EE4" w:rsidR="00AC43DA" w:rsidRPr="001227B6" w:rsidRDefault="00303B2C">
      <w:pPr>
        <w:pStyle w:val="a6"/>
        <w:numPr>
          <w:ilvl w:val="0"/>
          <w:numId w:val="12"/>
        </w:numPr>
        <w:tabs>
          <w:tab w:val="left" w:pos="1181"/>
        </w:tabs>
        <w:spacing w:before="12" w:line="237" w:lineRule="auto"/>
        <w:ind w:right="347" w:firstLine="564"/>
        <w:jc w:val="both"/>
        <w:rPr>
          <w:sz w:val="24"/>
          <w:lang w:val="en-US"/>
        </w:rPr>
      </w:pPr>
      <w:r w:rsidRPr="001227B6">
        <w:rPr>
          <w:sz w:val="24"/>
          <w:lang w:val="en-US"/>
        </w:rPr>
        <w:t xml:space="preserve">avoid contact with skin, </w:t>
      </w:r>
      <w:r w:rsidR="002A5296">
        <w:rPr>
          <w:sz w:val="24"/>
          <w:lang w:val="en-US"/>
        </w:rPr>
        <w:t>NCS</w:t>
      </w:r>
      <w:r w:rsidRPr="001227B6">
        <w:rPr>
          <w:sz w:val="24"/>
          <w:lang w:val="en-US"/>
        </w:rPr>
        <w:t>s and mucous membranes; In case of contact, immediately rinse the affected area with water and seek medical attention.</w:t>
      </w:r>
    </w:p>
    <w:p w14:paraId="7228DBE6" w14:textId="77777777" w:rsidR="00AC43DA" w:rsidRPr="001227B6" w:rsidRDefault="00303B2C">
      <w:pPr>
        <w:pStyle w:val="a3"/>
        <w:ind w:right="346"/>
        <w:rPr>
          <w:lang w:val="en-US"/>
        </w:rPr>
      </w:pPr>
      <w:r w:rsidRPr="001227B6">
        <w:rPr>
          <w:lang w:val="en-US"/>
        </w:rPr>
        <w:t>There are no necessary precautions regarding the influence of magnetic fields, external electrical influences, electrostatic discharges, pressure or pressure changes, overload, thermal ignition sources</w:t>
      </w:r>
    </w:p>
    <w:p w14:paraId="2488F6CD" w14:textId="77777777" w:rsidR="00AC43DA" w:rsidRPr="001227B6" w:rsidRDefault="00AC43DA">
      <w:pPr>
        <w:rPr>
          <w:lang w:val="en-US"/>
        </w:rPr>
        <w:sectPr w:rsidR="00AC43DA" w:rsidRPr="001227B6">
          <w:pgSz w:w="8400" w:h="11920"/>
          <w:pgMar w:top="680" w:right="240" w:bottom="640" w:left="380" w:header="0" w:footer="378" w:gutter="0"/>
          <w:cols w:space="720"/>
        </w:sectPr>
      </w:pPr>
    </w:p>
    <w:p w14:paraId="3570CDD8" w14:textId="77777777" w:rsidR="00AC43DA" w:rsidRPr="001227B6" w:rsidRDefault="00303B2C">
      <w:pPr>
        <w:pStyle w:val="a3"/>
        <w:spacing w:before="68"/>
        <w:ind w:firstLine="0"/>
        <w:jc w:val="left"/>
        <w:rPr>
          <w:lang w:val="en-US"/>
        </w:rPr>
      </w:pPr>
      <w:r w:rsidRPr="001227B6">
        <w:rPr>
          <w:lang w:val="en-US"/>
        </w:rPr>
        <w:lastRenderedPageBreak/>
        <w:t>provided.</w:t>
      </w:r>
    </w:p>
    <w:p w14:paraId="4395BA39" w14:textId="77777777" w:rsidR="00AC43DA" w:rsidRPr="001227B6" w:rsidRDefault="00303B2C">
      <w:pPr>
        <w:pStyle w:val="a3"/>
        <w:spacing w:before="1"/>
        <w:ind w:right="343"/>
        <w:rPr>
          <w:lang w:val="en-US"/>
        </w:rPr>
      </w:pPr>
      <w:r w:rsidRPr="001227B6">
        <w:rPr>
          <w:lang w:val="en-US"/>
        </w:rPr>
        <w:t>The kit does not contain substances of human or animal origin that have a potential infectious nature, therefore precautions against any special, unusual risks when using or selling the product are not provided.</w:t>
      </w:r>
    </w:p>
    <w:p w14:paraId="621605FB" w14:textId="77777777" w:rsidR="00AC43DA" w:rsidRPr="001227B6" w:rsidRDefault="00AC43DA">
      <w:pPr>
        <w:pStyle w:val="a3"/>
        <w:ind w:left="0" w:firstLine="0"/>
        <w:jc w:val="left"/>
        <w:rPr>
          <w:lang w:val="en-US"/>
        </w:rPr>
      </w:pPr>
    </w:p>
    <w:p w14:paraId="01F04FE5" w14:textId="77777777" w:rsidR="00AC43DA" w:rsidRPr="001227B6" w:rsidRDefault="00303B2C">
      <w:pPr>
        <w:pStyle w:val="1"/>
        <w:numPr>
          <w:ilvl w:val="0"/>
          <w:numId w:val="12"/>
        </w:numPr>
        <w:tabs>
          <w:tab w:val="left" w:pos="1267"/>
        </w:tabs>
        <w:ind w:left="2844" w:right="501" w:hanging="1818"/>
        <w:jc w:val="both"/>
        <w:rPr>
          <w:lang w:val="en-US"/>
        </w:rPr>
      </w:pPr>
      <w:bookmarkStart w:id="9" w:name="_bookmark7"/>
      <w:bookmarkEnd w:id="9"/>
      <w:r w:rsidRPr="001227B6">
        <w:rPr>
          <w:lang w:val="en-US"/>
        </w:rPr>
        <w:t>Equipment and materials required when working with the reagent kit</w:t>
      </w:r>
    </w:p>
    <w:p w14:paraId="7B35B245" w14:textId="77777777" w:rsidR="00AC43DA" w:rsidRPr="001227B6" w:rsidRDefault="00303B2C">
      <w:pPr>
        <w:pStyle w:val="a3"/>
        <w:spacing w:before="1"/>
        <w:ind w:right="354"/>
        <w:rPr>
          <w:lang w:val="en-US"/>
        </w:rPr>
      </w:pPr>
      <w:r w:rsidRPr="001227B6">
        <w:rPr>
          <w:lang w:val="en-US"/>
        </w:rPr>
        <w:t>Work with a set of reagents is carried out in work zone 3 (for preparing reactions) (MU 1.3.2569-09).</w:t>
      </w:r>
    </w:p>
    <w:p w14:paraId="5604F61B" w14:textId="77777777" w:rsidR="00AC43DA" w:rsidRPr="001227B6" w:rsidRDefault="00303B2C">
      <w:pPr>
        <w:pStyle w:val="1"/>
        <w:spacing w:before="72"/>
        <w:rPr>
          <w:b w:val="0"/>
          <w:lang w:val="en-US"/>
        </w:rPr>
      </w:pPr>
      <w:r w:rsidRPr="001227B6">
        <w:rPr>
          <w:lang w:val="en-US"/>
        </w:rPr>
        <w:t>Equipment for multiplex RT-PCR:</w:t>
      </w:r>
    </w:p>
    <w:p w14:paraId="17625017" w14:textId="77777777" w:rsidR="00AC43DA" w:rsidRPr="001227B6" w:rsidRDefault="00303B2C">
      <w:pPr>
        <w:pStyle w:val="a6"/>
        <w:numPr>
          <w:ilvl w:val="0"/>
          <w:numId w:val="11"/>
        </w:numPr>
        <w:tabs>
          <w:tab w:val="left" w:pos="1181"/>
        </w:tabs>
        <w:ind w:hanging="289"/>
        <w:rPr>
          <w:sz w:val="24"/>
          <w:lang w:val="en-US"/>
        </w:rPr>
      </w:pPr>
      <w:r w:rsidRPr="001227B6">
        <w:rPr>
          <w:sz w:val="24"/>
          <w:lang w:val="en-US"/>
        </w:rPr>
        <w:t>Biological safety box II and III protection class;</w:t>
      </w:r>
    </w:p>
    <w:p w14:paraId="31A73382" w14:textId="77777777" w:rsidR="00AC43DA" w:rsidRDefault="00303B2C">
      <w:pPr>
        <w:pStyle w:val="a6"/>
        <w:numPr>
          <w:ilvl w:val="0"/>
          <w:numId w:val="11"/>
        </w:numPr>
        <w:tabs>
          <w:tab w:val="left" w:pos="1181"/>
        </w:tabs>
        <w:ind w:hanging="289"/>
        <w:rPr>
          <w:sz w:val="24"/>
        </w:rPr>
      </w:pPr>
      <w:r>
        <w:rPr>
          <w:sz w:val="24"/>
        </w:rPr>
        <w:t>Vortex;</w:t>
      </w:r>
    </w:p>
    <w:p w14:paraId="766FE20F" w14:textId="77777777" w:rsidR="00AC43DA" w:rsidRPr="001227B6" w:rsidRDefault="00303B2C">
      <w:pPr>
        <w:pStyle w:val="a6"/>
        <w:numPr>
          <w:ilvl w:val="0"/>
          <w:numId w:val="11"/>
        </w:numPr>
        <w:tabs>
          <w:tab w:val="left" w:pos="1181"/>
        </w:tabs>
        <w:ind w:left="328" w:right="346" w:firstLine="564"/>
        <w:rPr>
          <w:sz w:val="24"/>
          <w:lang w:val="en-US"/>
        </w:rPr>
      </w:pPr>
      <w:r w:rsidRPr="001227B6">
        <w:rPr>
          <w:sz w:val="24"/>
          <w:lang w:val="en-US"/>
        </w:rPr>
        <w:t>A set of electronic or automatic variable volume dispensers;</w:t>
      </w:r>
    </w:p>
    <w:p w14:paraId="3D403F81" w14:textId="77777777" w:rsidR="00AC43DA" w:rsidRPr="001227B6" w:rsidRDefault="00303B2C">
      <w:pPr>
        <w:pStyle w:val="a6"/>
        <w:numPr>
          <w:ilvl w:val="0"/>
          <w:numId w:val="11"/>
        </w:numPr>
        <w:tabs>
          <w:tab w:val="left" w:pos="1181"/>
        </w:tabs>
        <w:ind w:left="328" w:right="350" w:firstLine="564"/>
        <w:rPr>
          <w:sz w:val="24"/>
          <w:lang w:val="en-US"/>
        </w:rPr>
      </w:pPr>
      <w:r w:rsidRPr="001227B6">
        <w:rPr>
          <w:sz w:val="24"/>
          <w:lang w:val="en-US"/>
        </w:rPr>
        <w:t>Refrigerator from +2 °C to +8 °C with freezer not higher than -16 °C;</w:t>
      </w:r>
    </w:p>
    <w:p w14:paraId="64D0FA9F" w14:textId="77777777" w:rsidR="00AC43DA" w:rsidRPr="001227B6" w:rsidRDefault="00303B2C">
      <w:pPr>
        <w:pStyle w:val="a6"/>
        <w:numPr>
          <w:ilvl w:val="0"/>
          <w:numId w:val="11"/>
        </w:numPr>
        <w:tabs>
          <w:tab w:val="left" w:pos="1181"/>
        </w:tabs>
        <w:ind w:left="328" w:right="345" w:firstLine="564"/>
        <w:rPr>
          <w:sz w:val="24"/>
          <w:lang w:val="en-US"/>
        </w:rPr>
      </w:pPr>
      <w:r w:rsidRPr="001227B6">
        <w:rPr>
          <w:sz w:val="24"/>
          <w:lang w:val="en-US"/>
        </w:rPr>
        <w:t>Amplifier1 with real-time fluorescent detection through channels corresponding to FAM/Green, HEX/Yellow, ROX/Orange and Cy5/Red fluorophores, for example, CFX96 (BioRad, USA),</w:t>
      </w:r>
    </w:p>
    <w:p w14:paraId="402B9FE5" w14:textId="36CA60C8" w:rsidR="00AC43DA" w:rsidRPr="001227B6" w:rsidRDefault="00303B2C">
      <w:pPr>
        <w:pStyle w:val="a3"/>
        <w:ind w:right="346" w:firstLine="0"/>
        <w:rPr>
          <w:lang w:val="en-US"/>
        </w:rPr>
      </w:pPr>
      <w:r w:rsidRPr="001227B6">
        <w:rPr>
          <w:lang w:val="en-US"/>
        </w:rPr>
        <w:t>DTprime (DNA-Technology LLC, Russia), Rotor-Gene Q (Qiagen, Germany), QuantStudio 5 (Thermo Fisher Scientific, USA).</w:t>
      </w:r>
    </w:p>
    <w:p w14:paraId="64A1F0E0" w14:textId="77777777" w:rsidR="00AC43DA" w:rsidRPr="001227B6" w:rsidRDefault="00303B2C">
      <w:pPr>
        <w:pStyle w:val="1"/>
        <w:rPr>
          <w:lang w:val="en-US"/>
        </w:rPr>
      </w:pPr>
      <w:r w:rsidRPr="001227B6">
        <w:rPr>
          <w:lang w:val="en-US"/>
        </w:rPr>
        <w:t>Materials and reagents not included in the product:</w:t>
      </w:r>
    </w:p>
    <w:p w14:paraId="33A2B5AA" w14:textId="1AB55015" w:rsidR="00AC43DA" w:rsidRPr="001227B6" w:rsidRDefault="00303B2C">
      <w:pPr>
        <w:pStyle w:val="a3"/>
        <w:spacing w:before="3"/>
        <w:ind w:right="349"/>
        <w:rPr>
          <w:lang w:val="en-US"/>
        </w:rPr>
      </w:pPr>
      <w:r w:rsidRPr="001227B6">
        <w:rPr>
          <w:b/>
          <w:lang w:val="en-US"/>
        </w:rPr>
        <w:t>ATTENTION!</w:t>
      </w:r>
      <w:r w:rsidRPr="001227B6">
        <w:rPr>
          <w:lang w:val="en-US"/>
        </w:rPr>
        <w:t xml:space="preserve">When working with </w:t>
      </w:r>
      <w:r w:rsidR="005D71E3">
        <w:rPr>
          <w:lang w:val="en-US"/>
        </w:rPr>
        <w:t>NA</w:t>
      </w:r>
      <w:r w:rsidRPr="001227B6">
        <w:rPr>
          <w:lang w:val="en-US"/>
        </w:rPr>
        <w:t>, it is necessary to use only disposable sterile plastic consumables that are specially marked “DNase-free” and “RNase-free”.</w:t>
      </w:r>
    </w:p>
    <w:p w14:paraId="04201101" w14:textId="77777777" w:rsidR="00AC43DA" w:rsidRPr="001227B6" w:rsidRDefault="00303B2C">
      <w:pPr>
        <w:pStyle w:val="a6"/>
        <w:numPr>
          <w:ilvl w:val="0"/>
          <w:numId w:val="10"/>
        </w:numPr>
        <w:tabs>
          <w:tab w:val="left" w:pos="1181"/>
        </w:tabs>
        <w:ind w:right="352" w:firstLine="564"/>
        <w:jc w:val="left"/>
        <w:rPr>
          <w:sz w:val="24"/>
          <w:lang w:val="en-US"/>
        </w:rPr>
      </w:pPr>
      <w:r w:rsidRPr="001227B6">
        <w:rPr>
          <w:sz w:val="24"/>
          <w:lang w:val="en-US"/>
        </w:rPr>
        <w:t>Disposable tips with aerosol barrier up to 1000 µl, 200 µl, 20 µl and 10 µl (for example, Axygen, USA);</w:t>
      </w:r>
    </w:p>
    <w:p w14:paraId="5D390976" w14:textId="77777777" w:rsidR="00AC43DA" w:rsidRPr="001227B6" w:rsidRDefault="00303B2C">
      <w:pPr>
        <w:pStyle w:val="a6"/>
        <w:numPr>
          <w:ilvl w:val="0"/>
          <w:numId w:val="10"/>
        </w:numPr>
        <w:tabs>
          <w:tab w:val="left" w:pos="1181"/>
        </w:tabs>
        <w:spacing w:before="1"/>
        <w:ind w:right="345" w:firstLine="564"/>
        <w:jc w:val="left"/>
        <w:rPr>
          <w:sz w:val="24"/>
          <w:lang w:val="en-US"/>
        </w:rPr>
      </w:pPr>
      <w:r w:rsidRPr="001227B6">
        <w:rPr>
          <w:sz w:val="24"/>
          <w:lang w:val="en-US"/>
        </w:rPr>
        <w:t>Disposable sterile Eppendorf tubes of 1.5 or 2.0 ml;</w:t>
      </w:r>
    </w:p>
    <w:p w14:paraId="702CD340" w14:textId="77777777" w:rsidR="00AC43DA" w:rsidRPr="001227B6" w:rsidRDefault="00303B2C">
      <w:pPr>
        <w:pStyle w:val="a6"/>
        <w:numPr>
          <w:ilvl w:val="0"/>
          <w:numId w:val="10"/>
        </w:numPr>
        <w:tabs>
          <w:tab w:val="left" w:pos="1181"/>
          <w:tab w:val="left" w:pos="2983"/>
          <w:tab w:val="left" w:pos="4620"/>
          <w:tab w:val="left" w:pos="5936"/>
          <w:tab w:val="left" w:pos="6370"/>
        </w:tabs>
        <w:ind w:left="1180" w:hanging="289"/>
        <w:jc w:val="left"/>
        <w:rPr>
          <w:sz w:val="24"/>
          <w:lang w:val="en-US"/>
        </w:rPr>
      </w:pPr>
      <w:r w:rsidRPr="001227B6">
        <w:rPr>
          <w:sz w:val="24"/>
          <w:lang w:val="en-US"/>
        </w:rPr>
        <w:t>Thin-walled</w:t>
      </w:r>
      <w:r w:rsidRPr="001227B6">
        <w:rPr>
          <w:sz w:val="24"/>
          <w:lang w:val="en-US"/>
        </w:rPr>
        <w:tab/>
        <w:t>disposable</w:t>
      </w:r>
      <w:r w:rsidRPr="001227B6">
        <w:rPr>
          <w:sz w:val="24"/>
          <w:lang w:val="en-US"/>
        </w:rPr>
        <w:tab/>
        <w:t>test tubes</w:t>
      </w:r>
      <w:r w:rsidRPr="001227B6">
        <w:rPr>
          <w:sz w:val="24"/>
          <w:lang w:val="en-US"/>
        </w:rPr>
        <w:tab/>
        <w:t>With</w:t>
      </w:r>
      <w:r w:rsidRPr="001227B6">
        <w:rPr>
          <w:sz w:val="24"/>
          <w:lang w:val="en-US"/>
        </w:rPr>
        <w:tab/>
        <w:t>optically</w:t>
      </w:r>
    </w:p>
    <w:p w14:paraId="02B120DC" w14:textId="77777777" w:rsidR="00AC43DA" w:rsidRPr="001227B6" w:rsidRDefault="00FC0F55">
      <w:pPr>
        <w:pStyle w:val="a3"/>
        <w:spacing w:before="1"/>
        <w:ind w:left="0" w:firstLine="0"/>
        <w:jc w:val="left"/>
        <w:rPr>
          <w:sz w:val="21"/>
          <w:lang w:val="en-US"/>
        </w:rPr>
      </w:pPr>
      <w:r>
        <w:pict w14:anchorId="684CDA0D">
          <v:rect id="_x0000_s2052" style="position:absolute;margin-left:24pt;margin-top:14.1pt;width:144.05pt;height:.6pt;z-index:-251658240;mso-wrap-distance-left:0;mso-wrap-distance-right:0;mso-position-horizontal-relative:page" fillcolor="black" stroked="f">
            <w10:wrap type="topAndBottom" anchorx="page"/>
          </v:rect>
        </w:pict>
      </w:r>
    </w:p>
    <w:p w14:paraId="60464CE5" w14:textId="77777777" w:rsidR="00AC43DA" w:rsidRPr="001227B6" w:rsidRDefault="00303B2C">
      <w:pPr>
        <w:spacing w:before="65"/>
        <w:ind w:left="241" w:right="115" w:hanging="142"/>
        <w:jc w:val="both"/>
        <w:rPr>
          <w:sz w:val="20"/>
          <w:lang w:val="en-US"/>
        </w:rPr>
      </w:pPr>
      <w:r w:rsidRPr="001227B6">
        <w:rPr>
          <w:sz w:val="20"/>
          <w:vertAlign w:val="superscript"/>
          <w:lang w:val="en-US"/>
        </w:rPr>
        <w:t>1</w:t>
      </w:r>
      <w:r w:rsidRPr="001227B6">
        <w:rPr>
          <w:spacing w:val="1"/>
          <w:sz w:val="20"/>
          <w:lang w:val="en-US"/>
        </w:rPr>
        <w:t xml:space="preserve"> </w:t>
      </w:r>
      <w:r w:rsidRPr="001227B6">
        <w:rPr>
          <w:sz w:val="20"/>
          <w:lang w:val="en-US"/>
        </w:rPr>
        <w:t>Cyclers must be maintained, calibrated and used in accordance with the manufacturer's recommendations. Use of this kit in an uncalibrated instrument may affect the performance of the reagent kit.</w:t>
      </w:r>
    </w:p>
    <w:p w14:paraId="0400D725" w14:textId="77777777" w:rsidR="00AC43DA" w:rsidRPr="001227B6" w:rsidRDefault="00AC43DA">
      <w:pPr>
        <w:jc w:val="both"/>
        <w:rPr>
          <w:sz w:val="20"/>
          <w:lang w:val="en-US"/>
        </w:rPr>
        <w:sectPr w:rsidR="00AC43DA" w:rsidRPr="001227B6">
          <w:pgSz w:w="8400" w:h="11920"/>
          <w:pgMar w:top="680" w:right="240" w:bottom="560" w:left="380" w:header="0" w:footer="378" w:gutter="0"/>
          <w:cols w:space="720"/>
        </w:sectPr>
      </w:pPr>
    </w:p>
    <w:p w14:paraId="2F4A6AC7" w14:textId="77777777" w:rsidR="00AC43DA" w:rsidRPr="001227B6" w:rsidRDefault="00303B2C">
      <w:pPr>
        <w:pStyle w:val="a3"/>
        <w:spacing w:before="68"/>
        <w:ind w:right="340" w:firstLine="0"/>
        <w:rPr>
          <w:lang w:val="en-US"/>
        </w:rPr>
      </w:pPr>
      <w:r w:rsidRPr="001227B6">
        <w:rPr>
          <w:lang w:val="en-US"/>
        </w:rPr>
        <w:lastRenderedPageBreak/>
        <w:t>transparent lid (when using plate-type amplifiers) or optically transparent walls (when using rotary-type amplifiers) for PCR: PCR tubes with a volume of 0.1 or 0.2 ml2, or tubes for PCR with a volume of 0.1 or 0.2 ml in strips, or PCR plates with optically transparent film (for example, Axygen, USA), compatible with the amplifier used;</w:t>
      </w:r>
    </w:p>
    <w:p w14:paraId="54EF20F2" w14:textId="77777777" w:rsidR="00AC43DA" w:rsidRPr="001227B6" w:rsidRDefault="00303B2C">
      <w:pPr>
        <w:pStyle w:val="a6"/>
        <w:numPr>
          <w:ilvl w:val="0"/>
          <w:numId w:val="10"/>
        </w:numPr>
        <w:tabs>
          <w:tab w:val="left" w:pos="1135"/>
        </w:tabs>
        <w:spacing w:before="1"/>
        <w:ind w:left="1134" w:hanging="243"/>
        <w:jc w:val="both"/>
        <w:rPr>
          <w:sz w:val="24"/>
          <w:lang w:val="en-US"/>
        </w:rPr>
      </w:pPr>
      <w:r w:rsidRPr="001227B6">
        <w:rPr>
          <w:sz w:val="24"/>
          <w:lang w:val="en-US"/>
        </w:rPr>
        <w:t>Gown and disposable gloves without talc;</w:t>
      </w:r>
    </w:p>
    <w:p w14:paraId="74CFB6C8" w14:textId="77777777" w:rsidR="00AC43DA" w:rsidRDefault="00303B2C">
      <w:pPr>
        <w:pStyle w:val="a6"/>
        <w:numPr>
          <w:ilvl w:val="0"/>
          <w:numId w:val="10"/>
        </w:numPr>
        <w:tabs>
          <w:tab w:val="left" w:pos="1135"/>
        </w:tabs>
        <w:ind w:left="1134" w:hanging="243"/>
        <w:jc w:val="both"/>
        <w:rPr>
          <w:sz w:val="24"/>
        </w:rPr>
      </w:pPr>
      <w:r>
        <w:rPr>
          <w:sz w:val="24"/>
        </w:rPr>
        <w:t>Container with disinfectant solution;</w:t>
      </w:r>
    </w:p>
    <w:p w14:paraId="5FA412D0" w14:textId="77777777" w:rsidR="00AC43DA" w:rsidRPr="001227B6" w:rsidRDefault="00303B2C">
      <w:pPr>
        <w:pStyle w:val="a6"/>
        <w:numPr>
          <w:ilvl w:val="0"/>
          <w:numId w:val="10"/>
        </w:numPr>
        <w:tabs>
          <w:tab w:val="left" w:pos="1135"/>
        </w:tabs>
        <w:spacing w:before="1"/>
        <w:ind w:right="346" w:firstLine="564"/>
        <w:jc w:val="both"/>
        <w:rPr>
          <w:sz w:val="24"/>
          <w:lang w:val="en-US"/>
        </w:rPr>
      </w:pPr>
      <w:r w:rsidRPr="001227B6">
        <w:rPr>
          <w:sz w:val="24"/>
          <w:lang w:val="en-US"/>
        </w:rPr>
        <w:t>Workplace racks for tubes with a volume of 0.1 or 0.2 ml or for strip tubes with a volume of 0.1 or 0.2 ml (for example, InterLabService LLC, Russia);</w:t>
      </w:r>
    </w:p>
    <w:p w14:paraId="34728EA7" w14:textId="52B031B9" w:rsidR="00AC43DA" w:rsidRPr="001227B6" w:rsidRDefault="00303B2C">
      <w:pPr>
        <w:pStyle w:val="a6"/>
        <w:numPr>
          <w:ilvl w:val="0"/>
          <w:numId w:val="10"/>
        </w:numPr>
        <w:tabs>
          <w:tab w:val="left" w:pos="1150"/>
        </w:tabs>
        <w:ind w:left="1149" w:hanging="258"/>
        <w:jc w:val="both"/>
        <w:rPr>
          <w:sz w:val="24"/>
          <w:lang w:val="en-US"/>
        </w:rPr>
      </w:pPr>
      <w:r w:rsidRPr="001227B6">
        <w:rPr>
          <w:sz w:val="24"/>
          <w:lang w:val="en-US"/>
        </w:rPr>
        <w:t xml:space="preserve">Kit for isolating </w:t>
      </w:r>
      <w:r w:rsidR="005D71E3">
        <w:rPr>
          <w:sz w:val="24"/>
          <w:lang w:val="en-US"/>
        </w:rPr>
        <w:t>NA</w:t>
      </w:r>
      <w:r w:rsidRPr="001227B6">
        <w:rPr>
          <w:sz w:val="24"/>
          <w:lang w:val="en-US"/>
        </w:rPr>
        <w:t xml:space="preserve"> from blood plasma K2-EDTA (see paragraph.</w:t>
      </w:r>
    </w:p>
    <w:p w14:paraId="29D77562" w14:textId="77777777" w:rsidR="00AC43DA" w:rsidRDefault="00303B2C">
      <w:pPr>
        <w:pStyle w:val="a3"/>
        <w:ind w:firstLine="0"/>
      </w:pPr>
      <w:r>
        <w:t>8.2 Instructions).</w:t>
      </w:r>
    </w:p>
    <w:p w14:paraId="49BF0CD7" w14:textId="77777777" w:rsidR="00AC43DA" w:rsidRDefault="00AC43DA">
      <w:pPr>
        <w:pStyle w:val="a3"/>
        <w:spacing w:before="4"/>
        <w:ind w:left="0" w:firstLine="0"/>
        <w:jc w:val="left"/>
      </w:pPr>
    </w:p>
    <w:p w14:paraId="415C5E96" w14:textId="77777777" w:rsidR="00AC43DA" w:rsidRPr="001227B6" w:rsidRDefault="00303B2C">
      <w:pPr>
        <w:pStyle w:val="1"/>
        <w:numPr>
          <w:ilvl w:val="0"/>
          <w:numId w:val="10"/>
        </w:numPr>
        <w:tabs>
          <w:tab w:val="left" w:pos="2629"/>
        </w:tabs>
        <w:spacing w:before="1"/>
        <w:ind w:left="894" w:right="2405" w:firstLine="1490"/>
        <w:jc w:val="both"/>
        <w:rPr>
          <w:lang w:val="en-US"/>
        </w:rPr>
      </w:pPr>
      <w:bookmarkStart w:id="10" w:name="_bookmark8"/>
      <w:bookmarkEnd w:id="10"/>
      <w:r w:rsidRPr="001227B6">
        <w:rPr>
          <w:lang w:val="en-US"/>
        </w:rPr>
        <w:t>Samples analyzed Type of sample analyzed</w:t>
      </w:r>
    </w:p>
    <w:p w14:paraId="0FA5691A" w14:textId="77777777" w:rsidR="00AC43DA" w:rsidRPr="001227B6" w:rsidRDefault="00303B2C">
      <w:pPr>
        <w:pStyle w:val="a3"/>
        <w:ind w:right="348"/>
        <w:rPr>
          <w:lang w:val="en-US"/>
        </w:rPr>
      </w:pPr>
      <w:r w:rsidRPr="001227B6">
        <w:rPr>
          <w:lang w:val="en-US"/>
        </w:rPr>
        <w:t>The material for RT-PCR is nucleic acid samples isolated from blood plasma</w:t>
      </w:r>
      <w:r w:rsidRPr="001227B6">
        <w:rPr>
          <w:color w:val="000009"/>
          <w:lang w:val="en-US"/>
        </w:rPr>
        <w:t>K2-EDTA</w:t>
      </w:r>
      <w:r w:rsidRPr="001227B6">
        <w:rPr>
          <w:lang w:val="en-US"/>
        </w:rPr>
        <w:t>.</w:t>
      </w:r>
    </w:p>
    <w:p w14:paraId="57BDBE4B" w14:textId="77777777" w:rsidR="00AC43DA" w:rsidRPr="001227B6" w:rsidRDefault="00303B2C">
      <w:pPr>
        <w:pStyle w:val="1"/>
        <w:spacing w:line="271" w:lineRule="exact"/>
        <w:rPr>
          <w:lang w:val="en-US"/>
        </w:rPr>
      </w:pPr>
      <w:r w:rsidRPr="001227B6">
        <w:rPr>
          <w:lang w:val="en-US"/>
        </w:rPr>
        <w:t>8.1. Procedure for obtaining clinical material</w:t>
      </w:r>
    </w:p>
    <w:p w14:paraId="253A37C3" w14:textId="0CEFA024" w:rsidR="00AC43DA" w:rsidRPr="001227B6" w:rsidRDefault="00303B2C">
      <w:pPr>
        <w:pStyle w:val="a3"/>
        <w:spacing w:before="2"/>
        <w:ind w:right="346"/>
        <w:rPr>
          <w:lang w:val="en-US"/>
        </w:rPr>
      </w:pPr>
      <w:r w:rsidRPr="001227B6">
        <w:rPr>
          <w:b/>
          <w:lang w:val="en-US"/>
        </w:rPr>
        <w:t>ATTENTION!</w:t>
      </w:r>
      <w:r w:rsidR="003D5103">
        <w:rPr>
          <w:b/>
          <w:lang w:val="en-US"/>
        </w:rPr>
        <w:t xml:space="preserve"> </w:t>
      </w:r>
      <w:r w:rsidRPr="001227B6">
        <w:rPr>
          <w:lang w:val="en-US"/>
        </w:rPr>
        <w:t>Before starting work, you should familiarize yourself with the methodological recommendations “Taking, transporting, storing clinical material for PCR diagnostics”, developed by the Federal Budgetary Institution Central Research Institute of Experimental Inspection of Rospotrebnadzor, Moscow, 2012.</w:t>
      </w:r>
    </w:p>
    <w:p w14:paraId="4579F8A0" w14:textId="77777777" w:rsidR="00AC43DA" w:rsidRPr="001227B6" w:rsidRDefault="00303B2C">
      <w:pPr>
        <w:pStyle w:val="a3"/>
        <w:spacing w:before="1"/>
        <w:ind w:right="344"/>
        <w:rPr>
          <w:lang w:val="en-US"/>
        </w:rPr>
      </w:pPr>
      <w:r w:rsidRPr="001227B6">
        <w:rPr>
          <w:lang w:val="en-US"/>
        </w:rPr>
        <w:t>The collection of clinical material and its packaging is carried out by an employee of a medical organization trained in the requirements and rules of biological safety when working and collecting material suspected of being infected with microorganisms of pathogenicity group II.</w:t>
      </w:r>
    </w:p>
    <w:p w14:paraId="7343E238" w14:textId="77777777" w:rsidR="00AC43DA" w:rsidRPr="001227B6" w:rsidRDefault="00303B2C">
      <w:pPr>
        <w:pStyle w:val="1"/>
        <w:spacing w:line="274" w:lineRule="exact"/>
        <w:rPr>
          <w:lang w:val="en-US"/>
        </w:rPr>
      </w:pPr>
      <w:r w:rsidRPr="001227B6">
        <w:rPr>
          <w:lang w:val="en-US"/>
        </w:rPr>
        <w:t>Collection of material for research</w:t>
      </w:r>
    </w:p>
    <w:p w14:paraId="0E4A8538" w14:textId="77777777" w:rsidR="00AC43DA" w:rsidRPr="001227B6" w:rsidRDefault="00303B2C">
      <w:pPr>
        <w:pStyle w:val="a3"/>
        <w:spacing w:before="2"/>
        <w:ind w:right="341"/>
        <w:rPr>
          <w:lang w:val="en-US"/>
        </w:rPr>
      </w:pPr>
      <w:r w:rsidRPr="001227B6">
        <w:rPr>
          <w:lang w:val="en-US"/>
        </w:rPr>
        <w:t>Peripheral blood is collected in the morning on an empty stomach into a test tube (vacuum tube) containing a 4 or 6 ml EDTA-K2 solution as an anticoagulant. Immediately after drawing blood, invert the tube 3-4 times to mix the blood with the EDTA-K2 solution.</w:t>
      </w:r>
    </w:p>
    <w:p w14:paraId="5BE56705" w14:textId="5FDF437E" w:rsidR="00AC43DA" w:rsidRPr="001227B6" w:rsidRDefault="00303B2C">
      <w:pPr>
        <w:ind w:left="892"/>
        <w:jc w:val="both"/>
        <w:rPr>
          <w:sz w:val="24"/>
          <w:lang w:val="en-US"/>
        </w:rPr>
      </w:pPr>
      <w:r w:rsidRPr="001227B6">
        <w:rPr>
          <w:b/>
          <w:sz w:val="24"/>
          <w:lang w:val="en-US"/>
        </w:rPr>
        <w:t>ATTENTION!</w:t>
      </w:r>
      <w:r w:rsidR="003D5103">
        <w:rPr>
          <w:b/>
          <w:sz w:val="24"/>
          <w:lang w:val="en-US"/>
        </w:rPr>
        <w:t xml:space="preserve"> </w:t>
      </w:r>
      <w:r w:rsidRPr="001227B6">
        <w:rPr>
          <w:sz w:val="24"/>
          <w:lang w:val="en-US"/>
        </w:rPr>
        <w:t>The use of heparin and</w:t>
      </w:r>
    </w:p>
    <w:p w14:paraId="0AAE1511" w14:textId="77777777" w:rsidR="00AC43DA" w:rsidRPr="001227B6" w:rsidRDefault="00FC0F55">
      <w:pPr>
        <w:pStyle w:val="a3"/>
        <w:spacing w:before="3"/>
        <w:ind w:left="0" w:firstLine="0"/>
        <w:jc w:val="left"/>
        <w:rPr>
          <w:sz w:val="15"/>
          <w:lang w:val="en-US"/>
        </w:rPr>
      </w:pPr>
      <w:r>
        <w:pict w14:anchorId="675620E0">
          <v:rect id="_x0000_s2051" style="position:absolute;margin-left:24pt;margin-top:10.75pt;width:144.05pt;height:.6pt;z-index:-251657216;mso-wrap-distance-left:0;mso-wrap-distance-right:0;mso-position-horizontal-relative:page" fillcolor="black" stroked="f">
            <w10:wrap type="topAndBottom" anchorx="page"/>
          </v:rect>
        </w:pict>
      </w:r>
    </w:p>
    <w:p w14:paraId="536AF661" w14:textId="77777777" w:rsidR="00AC43DA" w:rsidRPr="001227B6" w:rsidRDefault="00303B2C">
      <w:pPr>
        <w:spacing w:before="67"/>
        <w:ind w:left="100"/>
        <w:rPr>
          <w:sz w:val="20"/>
          <w:lang w:val="en-US"/>
        </w:rPr>
      </w:pPr>
      <w:r w:rsidRPr="001227B6">
        <w:rPr>
          <w:sz w:val="20"/>
          <w:vertAlign w:val="superscript"/>
          <w:lang w:val="en-US"/>
        </w:rPr>
        <w:t>2</w:t>
      </w:r>
      <w:r w:rsidRPr="001227B6">
        <w:rPr>
          <w:spacing w:val="-2"/>
          <w:sz w:val="20"/>
          <w:lang w:val="en-US"/>
        </w:rPr>
        <w:t xml:space="preserve"> </w:t>
      </w:r>
      <w:r w:rsidRPr="001227B6">
        <w:rPr>
          <w:sz w:val="20"/>
          <w:lang w:val="en-US"/>
        </w:rPr>
        <w:t>Make sure the PCR tubes are compatible with the cycler you are using.</w:t>
      </w:r>
    </w:p>
    <w:p w14:paraId="497AD2D6" w14:textId="77777777" w:rsidR="00AC43DA" w:rsidRPr="001227B6" w:rsidRDefault="00AC43DA">
      <w:pPr>
        <w:rPr>
          <w:sz w:val="20"/>
          <w:lang w:val="en-US"/>
        </w:rPr>
        <w:sectPr w:rsidR="00AC43DA" w:rsidRPr="001227B6">
          <w:pgSz w:w="8400" w:h="11920"/>
          <w:pgMar w:top="680" w:right="240" w:bottom="560" w:left="380" w:header="0" w:footer="378" w:gutter="0"/>
          <w:cols w:space="720"/>
        </w:sectPr>
      </w:pPr>
    </w:p>
    <w:p w14:paraId="07F72F4A" w14:textId="77777777" w:rsidR="00AC43DA" w:rsidRPr="001227B6" w:rsidRDefault="00303B2C">
      <w:pPr>
        <w:pStyle w:val="a3"/>
        <w:spacing w:before="68"/>
        <w:ind w:firstLine="0"/>
        <w:rPr>
          <w:lang w:val="en-US"/>
        </w:rPr>
      </w:pPr>
      <w:r w:rsidRPr="001227B6">
        <w:rPr>
          <w:lang w:val="en-US"/>
        </w:rPr>
        <w:lastRenderedPageBreak/>
        <w:t>sodium citrate as an anticoagulant.</w:t>
      </w:r>
    </w:p>
    <w:p w14:paraId="30DDF1AA" w14:textId="132D1E61" w:rsidR="00AC43DA" w:rsidRPr="001227B6" w:rsidRDefault="00303B2C">
      <w:pPr>
        <w:pStyle w:val="a3"/>
        <w:spacing w:before="1"/>
        <w:ind w:right="346"/>
        <w:rPr>
          <w:lang w:val="en-US"/>
        </w:rPr>
      </w:pPr>
      <w:r w:rsidRPr="001227B6">
        <w:rPr>
          <w:b/>
          <w:lang w:val="en-US"/>
        </w:rPr>
        <w:t>ATTENTION!</w:t>
      </w:r>
      <w:r w:rsidR="003D5103">
        <w:rPr>
          <w:b/>
          <w:lang w:val="en-US"/>
        </w:rPr>
        <w:t xml:space="preserve"> </w:t>
      </w:r>
      <w:r w:rsidRPr="001227B6">
        <w:rPr>
          <w:lang w:val="en-US"/>
        </w:rPr>
        <w:t>The presence of heparin in the blood of patients on anticoagulant therapy can lead to unreliable PCR results, so it is recommended to draw blood from such patients before the next administration of the drug.</w:t>
      </w:r>
    </w:p>
    <w:p w14:paraId="4D8CE10C" w14:textId="77777777" w:rsidR="00AC43DA" w:rsidRPr="001227B6" w:rsidRDefault="00303B2C">
      <w:pPr>
        <w:pStyle w:val="1"/>
        <w:spacing w:before="2"/>
        <w:ind w:left="328" w:right="344" w:firstLine="564"/>
        <w:rPr>
          <w:lang w:val="en-US"/>
        </w:rPr>
      </w:pPr>
      <w:r w:rsidRPr="001227B6">
        <w:rPr>
          <w:lang w:val="en-US"/>
        </w:rPr>
        <w:t>Conditions for transportation and storage of the initial clinical material - blood:</w:t>
      </w:r>
    </w:p>
    <w:p w14:paraId="30A25E7B" w14:textId="77777777" w:rsidR="00AC43DA" w:rsidRPr="001227B6" w:rsidRDefault="00303B2C">
      <w:pPr>
        <w:pStyle w:val="a6"/>
        <w:numPr>
          <w:ilvl w:val="0"/>
          <w:numId w:val="9"/>
        </w:numPr>
        <w:tabs>
          <w:tab w:val="left" w:pos="1075"/>
        </w:tabs>
        <w:spacing w:line="269" w:lineRule="exact"/>
        <w:ind w:left="1074"/>
        <w:rPr>
          <w:sz w:val="24"/>
          <w:lang w:val="en-US"/>
        </w:rPr>
      </w:pPr>
      <w:r w:rsidRPr="001227B6">
        <w:rPr>
          <w:sz w:val="24"/>
          <w:lang w:val="en-US"/>
        </w:rPr>
        <w:t>at temperatures from +2 °C to +8 °C – no more than 6 hours;</w:t>
      </w:r>
    </w:p>
    <w:p w14:paraId="600F5558" w14:textId="77777777" w:rsidR="00AC43DA" w:rsidRDefault="00303B2C">
      <w:pPr>
        <w:pStyle w:val="a6"/>
        <w:numPr>
          <w:ilvl w:val="0"/>
          <w:numId w:val="9"/>
        </w:numPr>
        <w:tabs>
          <w:tab w:val="left" w:pos="1075"/>
        </w:tabs>
        <w:spacing w:before="3"/>
        <w:ind w:right="1849" w:firstLine="0"/>
        <w:rPr>
          <w:sz w:val="24"/>
        </w:rPr>
      </w:pPr>
      <w:r w:rsidRPr="001227B6">
        <w:rPr>
          <w:sz w:val="24"/>
          <w:lang w:val="en-US"/>
        </w:rPr>
        <w:t xml:space="preserve">at room temperature – no more than 2 hours. </w:t>
      </w:r>
      <w:r>
        <w:rPr>
          <w:sz w:val="24"/>
        </w:rPr>
        <w:t>Do not freeze blood.</w:t>
      </w:r>
    </w:p>
    <w:p w14:paraId="474A07CE" w14:textId="77777777" w:rsidR="00AC43DA" w:rsidRPr="001227B6" w:rsidRDefault="00303B2C">
      <w:pPr>
        <w:pStyle w:val="a3"/>
        <w:spacing w:before="72"/>
        <w:ind w:right="342"/>
        <w:rPr>
          <w:lang w:val="en-US"/>
        </w:rPr>
      </w:pPr>
      <w:r w:rsidRPr="001227B6">
        <w:rPr>
          <w:lang w:val="en-US"/>
        </w:rPr>
        <w:t>Within 2 hours (when stored at room temperature) or 6 hours (when stored at temperatures from +2 ° C to +8 ° C) after collecting the material, plasma should be collected, for which the tube with blood is centrifuged at 800–1600 g for 20 minutes at room temperature. After centrifugation, transfer the upper fraction (plasma) into separate plastic tubes with a volume of 1.5 or 2.0 ml, free from DNase and RNase.</w:t>
      </w:r>
    </w:p>
    <w:p w14:paraId="7E1A46D2" w14:textId="77777777" w:rsidR="00AC43DA" w:rsidRPr="001227B6" w:rsidRDefault="00303B2C">
      <w:pPr>
        <w:pStyle w:val="1"/>
        <w:spacing w:before="6"/>
        <w:ind w:left="328" w:right="342" w:firstLine="564"/>
        <w:rPr>
          <w:lang w:val="en-US"/>
        </w:rPr>
      </w:pPr>
      <w:r w:rsidRPr="001227B6">
        <w:rPr>
          <w:lang w:val="en-US"/>
        </w:rPr>
        <w:t>Conditions for transportation and storage of K2-EDTA blood plasma:</w:t>
      </w:r>
    </w:p>
    <w:p w14:paraId="511BD016" w14:textId="77777777" w:rsidR="00AC43DA" w:rsidRPr="001227B6" w:rsidRDefault="00303B2C">
      <w:pPr>
        <w:pStyle w:val="a3"/>
        <w:spacing w:line="269" w:lineRule="exact"/>
        <w:ind w:left="894" w:firstLine="0"/>
        <w:rPr>
          <w:lang w:val="en-US"/>
        </w:rPr>
      </w:pPr>
      <w:r w:rsidRPr="001227B6">
        <w:rPr>
          <w:lang w:val="en-US"/>
        </w:rPr>
        <w:t>Plasma can be stored at temperatures from +2 °C to</w:t>
      </w:r>
    </w:p>
    <w:p w14:paraId="330AC81D" w14:textId="77777777" w:rsidR="00AC43DA" w:rsidRPr="001227B6" w:rsidRDefault="00303B2C">
      <w:pPr>
        <w:pStyle w:val="a3"/>
        <w:spacing w:before="2"/>
        <w:ind w:right="348" w:firstLine="0"/>
        <w:rPr>
          <w:lang w:val="en-US"/>
        </w:rPr>
      </w:pPr>
      <w:r w:rsidRPr="001227B6">
        <w:rPr>
          <w:lang w:val="en-US"/>
        </w:rPr>
        <w:t>+8 °C for up to 5 days, at temperatures from -18 °C to -22 °C - up to 3 months, at temperatures -70 °C - for a long time.</w:t>
      </w:r>
    </w:p>
    <w:p w14:paraId="3FABDE7F" w14:textId="77777777" w:rsidR="00AC43DA" w:rsidRPr="001227B6" w:rsidRDefault="00303B2C">
      <w:pPr>
        <w:pStyle w:val="a3"/>
        <w:ind w:right="351"/>
        <w:rPr>
          <w:lang w:val="en-US"/>
        </w:rPr>
      </w:pPr>
      <w:r w:rsidRPr="001227B6">
        <w:rPr>
          <w:b/>
          <w:lang w:val="en-US"/>
        </w:rPr>
        <w:t>ATTENTION!</w:t>
      </w:r>
      <w:r w:rsidRPr="001227B6">
        <w:rPr>
          <w:lang w:val="en-US"/>
        </w:rPr>
        <w:t>Avoid repeated freezing and thawing of plasma samples.</w:t>
      </w:r>
    </w:p>
    <w:p w14:paraId="3F837F6F" w14:textId="10F2FD93" w:rsidR="00AC43DA" w:rsidRPr="001227B6" w:rsidRDefault="00303B2C">
      <w:pPr>
        <w:pStyle w:val="a3"/>
        <w:spacing w:before="1"/>
        <w:ind w:right="341"/>
        <w:rPr>
          <w:lang w:val="en-US"/>
        </w:rPr>
      </w:pPr>
      <w:r w:rsidRPr="001227B6">
        <w:rPr>
          <w:lang w:val="en-US"/>
        </w:rPr>
        <w:t xml:space="preserve">To isolate </w:t>
      </w:r>
      <w:r w:rsidR="005D71E3">
        <w:rPr>
          <w:lang w:val="en-US"/>
        </w:rPr>
        <w:t>NA</w:t>
      </w:r>
      <w:r w:rsidRPr="001227B6">
        <w:rPr>
          <w:lang w:val="en-US"/>
        </w:rPr>
        <w:t xml:space="preserve">, use at least 100 </w:t>
      </w:r>
      <w:r>
        <w:t>μ</w:t>
      </w:r>
      <w:r w:rsidRPr="001227B6">
        <w:rPr>
          <w:lang w:val="en-US"/>
        </w:rPr>
        <w:t>l of plasma. Increasing the analytical sensitivity of the kit is possible by using a larger volume of plasma, if provided by the kit used for NA isolation, as well as reducing the elution volume (optimally 25 µl).</w:t>
      </w:r>
    </w:p>
    <w:p w14:paraId="32BCA23D" w14:textId="77777777" w:rsidR="00AC43DA" w:rsidRPr="001227B6" w:rsidRDefault="00303B2C">
      <w:pPr>
        <w:pStyle w:val="a3"/>
        <w:ind w:right="344"/>
        <w:rPr>
          <w:lang w:val="en-US"/>
        </w:rPr>
      </w:pPr>
      <w:r w:rsidRPr="001227B6">
        <w:rPr>
          <w:lang w:val="en-US"/>
        </w:rPr>
        <w:t>In exceptional cases, the use of blood serum is allowed, and the reduction in the clinical sensitivity of the reagent kit while maintaining analytical sensitivity should be taken into account. Store the serum at a temperature from +2 °C to +8 °C for up to 5 days, at a temperature from -18 °C to -22 °C for up to 3 months, at a temperature of -70 °C for a long time.</w:t>
      </w:r>
    </w:p>
    <w:p w14:paraId="09A8BAA2" w14:textId="77777777" w:rsidR="00AC43DA" w:rsidRPr="001227B6" w:rsidRDefault="00303B2C">
      <w:pPr>
        <w:pStyle w:val="1"/>
        <w:spacing w:before="1"/>
        <w:rPr>
          <w:lang w:val="en-US"/>
        </w:rPr>
      </w:pPr>
      <w:r w:rsidRPr="001227B6">
        <w:rPr>
          <w:lang w:val="en-US"/>
        </w:rPr>
        <w:t>Material pre-treatment</w:t>
      </w:r>
    </w:p>
    <w:p w14:paraId="290C7C5F" w14:textId="77777777" w:rsidR="00AC43DA" w:rsidRPr="001227B6" w:rsidRDefault="00AC43DA">
      <w:pPr>
        <w:rPr>
          <w:lang w:val="en-US"/>
        </w:rPr>
        <w:sectPr w:rsidR="00AC43DA" w:rsidRPr="001227B6">
          <w:pgSz w:w="8400" w:h="11920"/>
          <w:pgMar w:top="680" w:right="240" w:bottom="640" w:left="380" w:header="0" w:footer="378" w:gutter="0"/>
          <w:cols w:space="720"/>
        </w:sectPr>
      </w:pPr>
    </w:p>
    <w:p w14:paraId="5F0BFFBB" w14:textId="77777777" w:rsidR="00AC43DA" w:rsidRPr="001227B6" w:rsidRDefault="00303B2C">
      <w:pPr>
        <w:pStyle w:val="a3"/>
        <w:spacing w:before="64"/>
        <w:ind w:left="894" w:firstLine="0"/>
        <w:rPr>
          <w:lang w:val="en-US"/>
        </w:rPr>
      </w:pPr>
      <w:r w:rsidRPr="001227B6">
        <w:rPr>
          <w:lang w:val="en-US"/>
        </w:rPr>
        <w:lastRenderedPageBreak/>
        <w:t>No preparation required.</w:t>
      </w:r>
    </w:p>
    <w:p w14:paraId="6A5EA41D" w14:textId="77777777" w:rsidR="00AC43DA" w:rsidRPr="001227B6" w:rsidRDefault="00303B2C">
      <w:pPr>
        <w:pStyle w:val="a3"/>
        <w:spacing w:before="2"/>
        <w:ind w:right="340"/>
        <w:rPr>
          <w:lang w:val="en-US"/>
        </w:rPr>
      </w:pPr>
      <w:r w:rsidRPr="001227B6">
        <w:rPr>
          <w:lang w:val="en-US"/>
        </w:rPr>
        <w:t>Recording, storage, transfer and transportation of clinical material suspected of the presence of hepatitis virus must be carried out in accordance with the current sanitary and epidemiological rules for the safety of working with microorganisms of pathogenicity (hazard) groups I–II (SP 1.3.3118-13), the current sanitary rules on the procedure for recording, storage, transfer and transportation of microorganisms of pathogenicity groups I–IV.</w:t>
      </w:r>
    </w:p>
    <w:p w14:paraId="4BCADE0D" w14:textId="77777777" w:rsidR="00AC43DA" w:rsidRPr="001227B6" w:rsidRDefault="00303B2C">
      <w:pPr>
        <w:pStyle w:val="a3"/>
        <w:spacing w:before="1"/>
        <w:ind w:right="352"/>
        <w:rPr>
          <w:lang w:val="en-US"/>
        </w:rPr>
      </w:pPr>
      <w:r w:rsidRPr="001227B6">
        <w:rPr>
          <w:lang w:val="en-US"/>
        </w:rPr>
        <w:t>Disposal of clinical material (class B), as extremely epidemiologically hazardous waste, is carried out in accordance with SanPiN 2.1.3684-21.</w:t>
      </w:r>
    </w:p>
    <w:p w14:paraId="40B579AE" w14:textId="151F1EBB" w:rsidR="00AC43DA" w:rsidRPr="001227B6" w:rsidRDefault="00303B2C">
      <w:pPr>
        <w:pStyle w:val="1"/>
        <w:spacing w:before="72"/>
        <w:ind w:left="328" w:right="355" w:firstLine="564"/>
        <w:rPr>
          <w:lang w:val="en-US"/>
        </w:rPr>
      </w:pPr>
      <w:r w:rsidRPr="001227B6">
        <w:rPr>
          <w:lang w:val="en-US"/>
        </w:rPr>
        <w:t xml:space="preserve">8.2 Procedure for obtaining a human </w:t>
      </w:r>
      <w:r w:rsidR="005D71E3">
        <w:rPr>
          <w:lang w:val="en-US"/>
        </w:rPr>
        <w:t>NA</w:t>
      </w:r>
      <w:r w:rsidRPr="001227B6">
        <w:rPr>
          <w:lang w:val="en-US"/>
        </w:rPr>
        <w:t xml:space="preserve"> sample isolated from K2-EDTA blood plasma</w:t>
      </w:r>
    </w:p>
    <w:p w14:paraId="0D09E3B4" w14:textId="785949A1" w:rsidR="00AC43DA" w:rsidRPr="001227B6" w:rsidRDefault="00303B2C">
      <w:pPr>
        <w:pStyle w:val="a3"/>
        <w:ind w:right="343"/>
        <w:rPr>
          <w:lang w:val="en-US"/>
        </w:rPr>
      </w:pPr>
      <w:r w:rsidRPr="001227B6">
        <w:rPr>
          <w:lang w:val="en-US"/>
        </w:rPr>
        <w:t xml:space="preserve">To isolate a human </w:t>
      </w:r>
      <w:r w:rsidR="005D71E3">
        <w:rPr>
          <w:lang w:val="en-US"/>
        </w:rPr>
        <w:t>NA</w:t>
      </w:r>
      <w:r w:rsidRPr="001227B6">
        <w:rPr>
          <w:lang w:val="en-US"/>
        </w:rPr>
        <w:t xml:space="preserve"> sample from K2-EDTA blood plasma, it is recommended to use the following reagent kits:</w:t>
      </w:r>
    </w:p>
    <w:p w14:paraId="4F711B8C" w14:textId="5C8B600D" w:rsidR="00AC43DA" w:rsidRPr="001227B6" w:rsidRDefault="00303B2C">
      <w:pPr>
        <w:pStyle w:val="a3"/>
        <w:ind w:left="100" w:right="119" w:firstLine="708"/>
        <w:jc w:val="left"/>
        <w:rPr>
          <w:lang w:val="en-US"/>
        </w:rPr>
      </w:pPr>
      <w:r w:rsidRPr="001227B6">
        <w:rPr>
          <w:lang w:val="en-US"/>
        </w:rPr>
        <w:t>- A set of reagents for the isolation of DNA/RNA from clinical material “</w:t>
      </w:r>
      <w:r w:rsidR="005D71E3">
        <w:rPr>
          <w:lang w:val="en-US"/>
        </w:rPr>
        <w:t>NA</w:t>
      </w:r>
      <w:r w:rsidRPr="001227B6">
        <w:rPr>
          <w:lang w:val="en-US"/>
        </w:rPr>
        <w:t xml:space="preserve">-Extra” according to </w:t>
      </w:r>
      <w:r w:rsidR="003D5103">
        <w:rPr>
          <w:lang w:val="en-US"/>
        </w:rPr>
        <w:t>TS 21.20.23</w:t>
      </w:r>
      <w:r w:rsidRPr="001227B6">
        <w:rPr>
          <w:lang w:val="en-US"/>
        </w:rPr>
        <w:t>-013-97638376-2019 produced by TestGen LLC, Russia (registration certificate: RZN 2021/15428 dated 09.24.2021).</w:t>
      </w:r>
    </w:p>
    <w:p w14:paraId="413ABBAD" w14:textId="77777777" w:rsidR="00AC43DA" w:rsidRPr="001227B6" w:rsidRDefault="00303B2C">
      <w:pPr>
        <w:pStyle w:val="a3"/>
        <w:spacing w:before="1"/>
        <w:ind w:right="346" w:firstLine="499"/>
        <w:rPr>
          <w:lang w:val="en-US"/>
        </w:rPr>
      </w:pPr>
      <w:r w:rsidRPr="001227B6">
        <w:rPr>
          <w:lang w:val="en-US"/>
        </w:rPr>
        <w:t>During the NA isolation procedure, it is necessary to strictly follow the protocol and the requirements of the instructions for the reagent kit used.</w:t>
      </w:r>
    </w:p>
    <w:p w14:paraId="053EB252" w14:textId="05E5C7AC" w:rsidR="00AC43DA" w:rsidRPr="001227B6" w:rsidRDefault="00303B2C">
      <w:pPr>
        <w:pStyle w:val="a3"/>
        <w:ind w:right="346" w:firstLine="499"/>
        <w:rPr>
          <w:lang w:val="en-US"/>
        </w:rPr>
      </w:pPr>
      <w:r w:rsidRPr="001227B6">
        <w:rPr>
          <w:lang w:val="en-US"/>
        </w:rPr>
        <w:t xml:space="preserve">To each test K2-EDTA plasma sample, 10 µl of </w:t>
      </w:r>
      <w:r w:rsidR="005D71E3">
        <w:rPr>
          <w:lang w:val="en-US"/>
        </w:rPr>
        <w:t>ICS</w:t>
      </w:r>
      <w:r w:rsidRPr="001227B6">
        <w:rPr>
          <w:lang w:val="en-US"/>
        </w:rPr>
        <w:t xml:space="preserve"> from the reagent kit should be added before isolation</w:t>
      </w:r>
    </w:p>
    <w:p w14:paraId="514B986E" w14:textId="77777777" w:rsidR="00AC43DA" w:rsidRPr="001227B6" w:rsidRDefault="00303B2C">
      <w:pPr>
        <w:pStyle w:val="a3"/>
        <w:spacing w:before="1"/>
        <w:ind w:firstLine="0"/>
        <w:jc w:val="left"/>
        <w:rPr>
          <w:lang w:val="en-US"/>
        </w:rPr>
      </w:pPr>
      <w:r w:rsidRPr="001227B6">
        <w:rPr>
          <w:lang w:val="en-US"/>
        </w:rPr>
        <w:t>"HEPA-BCD test".</w:t>
      </w:r>
    </w:p>
    <w:p w14:paraId="5C2386FB" w14:textId="192A5E41" w:rsidR="00AC43DA" w:rsidRPr="001227B6" w:rsidRDefault="00303B2C">
      <w:pPr>
        <w:pStyle w:val="a3"/>
        <w:ind w:right="352" w:firstLine="499"/>
        <w:rPr>
          <w:lang w:val="en-US"/>
        </w:rPr>
      </w:pPr>
      <w:r w:rsidRPr="001227B6">
        <w:rPr>
          <w:lang w:val="en-US"/>
        </w:rPr>
        <w:t xml:space="preserve">The </w:t>
      </w:r>
      <w:r w:rsidR="002A5296">
        <w:rPr>
          <w:lang w:val="en-US"/>
        </w:rPr>
        <w:t>NCS</w:t>
      </w:r>
      <w:r w:rsidRPr="001227B6">
        <w:rPr>
          <w:lang w:val="en-US"/>
        </w:rPr>
        <w:t xml:space="preserve"> sample also undergoes the procedure of NC isolation in a volume of 100 </w:t>
      </w:r>
      <w:r>
        <w:t>μ</w:t>
      </w:r>
      <w:r w:rsidRPr="001227B6">
        <w:rPr>
          <w:lang w:val="en-US"/>
        </w:rPr>
        <w:t xml:space="preserve">l with the addition of 10 </w:t>
      </w:r>
      <w:r>
        <w:t>μ</w:t>
      </w:r>
      <w:r w:rsidRPr="001227B6">
        <w:rPr>
          <w:lang w:val="en-US"/>
        </w:rPr>
        <w:t xml:space="preserve">l of </w:t>
      </w:r>
      <w:r w:rsidR="005D71E3">
        <w:rPr>
          <w:lang w:val="en-US"/>
        </w:rPr>
        <w:t>ICS</w:t>
      </w:r>
      <w:r w:rsidRPr="001227B6">
        <w:rPr>
          <w:lang w:val="en-US"/>
        </w:rPr>
        <w:t xml:space="preserve">. If the manufacturer's instructions for the NA isolation reagent kit require the use of a larger volume of sample, the </w:t>
      </w:r>
      <w:r w:rsidR="003D5103">
        <w:rPr>
          <w:lang w:val="en-US"/>
        </w:rPr>
        <w:t>NCS</w:t>
      </w:r>
      <w:r w:rsidRPr="001227B6">
        <w:rPr>
          <w:lang w:val="en-US"/>
        </w:rPr>
        <w:t xml:space="preserve"> volume should be adjusted to the required volume with saline or TE buffer.</w:t>
      </w:r>
    </w:p>
    <w:p w14:paraId="59FE2EE9" w14:textId="77777777" w:rsidR="00AC43DA" w:rsidRPr="001227B6" w:rsidRDefault="00303B2C">
      <w:pPr>
        <w:pStyle w:val="1"/>
        <w:spacing w:before="2"/>
        <w:ind w:left="827"/>
        <w:rPr>
          <w:lang w:val="en-US"/>
        </w:rPr>
      </w:pPr>
      <w:r w:rsidRPr="001227B6">
        <w:rPr>
          <w:lang w:val="en-US"/>
        </w:rPr>
        <w:t>Conditions for possible storage of analyzed samples</w:t>
      </w:r>
    </w:p>
    <w:p w14:paraId="075A97C9" w14:textId="3809D5DD" w:rsidR="00AC43DA" w:rsidRDefault="005D71E3">
      <w:pPr>
        <w:spacing w:line="274" w:lineRule="exact"/>
        <w:ind w:left="328"/>
        <w:rPr>
          <w:b/>
          <w:sz w:val="24"/>
        </w:rPr>
      </w:pPr>
      <w:r>
        <w:rPr>
          <w:b/>
          <w:sz w:val="24"/>
        </w:rPr>
        <w:t>NA</w:t>
      </w:r>
      <w:r w:rsidR="00303B2C">
        <w:rPr>
          <w:b/>
          <w:sz w:val="24"/>
        </w:rPr>
        <w:t>:</w:t>
      </w:r>
    </w:p>
    <w:p w14:paraId="397DA627" w14:textId="77777777" w:rsidR="00AC43DA" w:rsidRPr="001227B6" w:rsidRDefault="00303B2C">
      <w:pPr>
        <w:pStyle w:val="a6"/>
        <w:numPr>
          <w:ilvl w:val="0"/>
          <w:numId w:val="8"/>
        </w:numPr>
        <w:tabs>
          <w:tab w:val="left" w:pos="1176"/>
        </w:tabs>
        <w:spacing w:line="274" w:lineRule="exact"/>
        <w:jc w:val="left"/>
        <w:rPr>
          <w:sz w:val="24"/>
          <w:lang w:val="en-US"/>
        </w:rPr>
      </w:pPr>
      <w:r w:rsidRPr="001227B6">
        <w:rPr>
          <w:sz w:val="24"/>
          <w:lang w:val="en-US"/>
        </w:rPr>
        <w:t>at +2 ... +8 °C no more than 4 hours (recommended),</w:t>
      </w:r>
    </w:p>
    <w:p w14:paraId="245BFF7C" w14:textId="77777777" w:rsidR="00AC43DA" w:rsidRPr="001227B6" w:rsidRDefault="00303B2C">
      <w:pPr>
        <w:pStyle w:val="a6"/>
        <w:numPr>
          <w:ilvl w:val="0"/>
          <w:numId w:val="8"/>
        </w:numPr>
        <w:tabs>
          <w:tab w:val="left" w:pos="1176"/>
        </w:tabs>
        <w:jc w:val="left"/>
        <w:rPr>
          <w:sz w:val="24"/>
          <w:lang w:val="en-US"/>
        </w:rPr>
      </w:pPr>
      <w:r w:rsidRPr="001227B6">
        <w:rPr>
          <w:sz w:val="24"/>
          <w:lang w:val="en-US"/>
        </w:rPr>
        <w:t>at -18... -22 °C for no more than a week,</w:t>
      </w:r>
    </w:p>
    <w:p w14:paraId="7864FF4D" w14:textId="77777777" w:rsidR="00AC43DA" w:rsidRPr="001227B6" w:rsidRDefault="00303B2C">
      <w:pPr>
        <w:pStyle w:val="a6"/>
        <w:numPr>
          <w:ilvl w:val="0"/>
          <w:numId w:val="8"/>
        </w:numPr>
        <w:tabs>
          <w:tab w:val="left" w:pos="1176"/>
        </w:tabs>
        <w:jc w:val="left"/>
        <w:rPr>
          <w:sz w:val="24"/>
          <w:lang w:val="en-US"/>
        </w:rPr>
      </w:pPr>
      <w:r w:rsidRPr="001227B6">
        <w:rPr>
          <w:sz w:val="24"/>
          <w:lang w:val="en-US"/>
        </w:rPr>
        <w:t>at a temperature not exceeding -80 °C for no more than a year.</w:t>
      </w:r>
    </w:p>
    <w:p w14:paraId="55A32335" w14:textId="77777777" w:rsidR="00AC43DA" w:rsidRPr="001227B6" w:rsidRDefault="00AC43DA">
      <w:pPr>
        <w:rPr>
          <w:sz w:val="24"/>
          <w:lang w:val="en-US"/>
        </w:rPr>
        <w:sectPr w:rsidR="00AC43DA" w:rsidRPr="001227B6">
          <w:pgSz w:w="8400" w:h="11920"/>
          <w:pgMar w:top="680" w:right="240" w:bottom="640" w:left="380" w:header="0" w:footer="378" w:gutter="0"/>
          <w:cols w:space="720"/>
        </w:sectPr>
      </w:pPr>
    </w:p>
    <w:p w14:paraId="6E8A9A5E" w14:textId="77777777" w:rsidR="00AC43DA" w:rsidRPr="001227B6" w:rsidRDefault="00303B2C">
      <w:pPr>
        <w:pStyle w:val="1"/>
        <w:spacing w:before="68"/>
        <w:ind w:left="328" w:right="347" w:firstLine="564"/>
        <w:rPr>
          <w:lang w:val="en-US"/>
        </w:rPr>
      </w:pPr>
      <w:r w:rsidRPr="001227B6">
        <w:rPr>
          <w:lang w:val="en-US"/>
        </w:rPr>
        <w:lastRenderedPageBreak/>
        <w:t>8.3. Interfering substances and restrictions on the use of the analyzed material</w:t>
      </w:r>
    </w:p>
    <w:p w14:paraId="5650FA7D" w14:textId="77777777" w:rsidR="00AC43DA" w:rsidRPr="001227B6" w:rsidRDefault="00303B2C">
      <w:pPr>
        <w:pStyle w:val="a3"/>
        <w:spacing w:before="1"/>
        <w:ind w:right="344"/>
        <w:rPr>
          <w:lang w:val="en-US"/>
        </w:rPr>
      </w:pPr>
      <w:r w:rsidRPr="001227B6">
        <w:rPr>
          <w:lang w:val="en-US"/>
        </w:rPr>
        <w:t>The effect of potentially interfering substances on the performance of the HEPA-BCD test kit has been tested against potentially interfering substances that may be encountered during normal use of the reagent kit.</w:t>
      </w:r>
    </w:p>
    <w:p w14:paraId="7BA66E70" w14:textId="77777777" w:rsidR="00AC43DA" w:rsidRPr="001227B6" w:rsidRDefault="00303B2C">
      <w:pPr>
        <w:pStyle w:val="a3"/>
        <w:ind w:right="346" w:firstLine="0"/>
        <w:rPr>
          <w:lang w:val="en-US"/>
        </w:rPr>
      </w:pPr>
      <w:r w:rsidRPr="001227B6">
        <w:rPr>
          <w:lang w:val="en-US"/>
        </w:rPr>
        <w:t>"HEPA-BCD test", and presumably influence the ability</w:t>
      </w:r>
      <w:r w:rsidRPr="001227B6">
        <w:rPr>
          <w:color w:val="000009"/>
          <w:lang w:val="en-US"/>
        </w:rPr>
        <w:t>set of reagents</w:t>
      </w:r>
      <w:r w:rsidRPr="001227B6">
        <w:rPr>
          <w:lang w:val="en-US"/>
        </w:rPr>
        <w:t>produce reliable results.</w:t>
      </w:r>
    </w:p>
    <w:p w14:paraId="3AE7C782" w14:textId="77777777" w:rsidR="00AC43DA" w:rsidRPr="001227B6" w:rsidRDefault="00303B2C">
      <w:pPr>
        <w:pStyle w:val="a3"/>
        <w:ind w:right="349"/>
        <w:rPr>
          <w:lang w:val="en-US"/>
        </w:rPr>
      </w:pPr>
      <w:r w:rsidRPr="001227B6">
        <w:rPr>
          <w:lang w:val="en-US"/>
        </w:rPr>
        <w:t>Interfering substances may come from the following external and internal sources:</w:t>
      </w:r>
    </w:p>
    <w:p w14:paraId="68DD93C6" w14:textId="77777777" w:rsidR="00AC43DA" w:rsidRPr="001227B6" w:rsidRDefault="00303B2C">
      <w:pPr>
        <w:pStyle w:val="a6"/>
        <w:numPr>
          <w:ilvl w:val="0"/>
          <w:numId w:val="7"/>
        </w:numPr>
        <w:tabs>
          <w:tab w:val="left" w:pos="1191"/>
        </w:tabs>
        <w:spacing w:before="73"/>
        <w:ind w:right="359" w:firstLine="564"/>
        <w:rPr>
          <w:sz w:val="24"/>
          <w:lang w:val="en-US"/>
        </w:rPr>
      </w:pPr>
      <w:r w:rsidRPr="001227B6">
        <w:rPr>
          <w:sz w:val="24"/>
          <w:lang w:val="en-US"/>
        </w:rPr>
        <w:t>substances used in the treatment of the patient (for example, drugs);</w:t>
      </w:r>
    </w:p>
    <w:p w14:paraId="177B130F" w14:textId="77777777" w:rsidR="00AC43DA" w:rsidRPr="001227B6" w:rsidRDefault="00303B2C">
      <w:pPr>
        <w:pStyle w:val="a6"/>
        <w:numPr>
          <w:ilvl w:val="0"/>
          <w:numId w:val="7"/>
        </w:numPr>
        <w:tabs>
          <w:tab w:val="left" w:pos="1179"/>
        </w:tabs>
        <w:ind w:right="345" w:firstLine="564"/>
        <w:rPr>
          <w:sz w:val="24"/>
          <w:lang w:val="en-US"/>
        </w:rPr>
      </w:pPr>
      <w:r w:rsidRPr="001227B6">
        <w:rPr>
          <w:sz w:val="24"/>
          <w:lang w:val="en-US"/>
        </w:rPr>
        <w:t>substances found in specific types of samples - in this case, contamination of a clinical sample with blood hemoglobin can inhibit PCR if insufficient purification during the NA isolation procedure;</w:t>
      </w:r>
    </w:p>
    <w:p w14:paraId="6796F127" w14:textId="77777777" w:rsidR="00AC43DA" w:rsidRPr="001227B6" w:rsidRDefault="00303B2C">
      <w:pPr>
        <w:pStyle w:val="a6"/>
        <w:numPr>
          <w:ilvl w:val="0"/>
          <w:numId w:val="7"/>
        </w:numPr>
        <w:tabs>
          <w:tab w:val="left" w:pos="1416"/>
        </w:tabs>
        <w:ind w:right="352" w:firstLine="564"/>
        <w:rPr>
          <w:sz w:val="24"/>
          <w:lang w:val="en-US"/>
        </w:rPr>
      </w:pPr>
      <w:r w:rsidRPr="001227B6">
        <w:rPr>
          <w:sz w:val="24"/>
          <w:lang w:val="en-US"/>
        </w:rPr>
        <w:t>substances encountered during the collection of clinical material –</w:t>
      </w:r>
      <w:r w:rsidRPr="001227B6">
        <w:rPr>
          <w:color w:val="000009"/>
          <w:sz w:val="24"/>
          <w:lang w:val="en-US"/>
        </w:rPr>
        <w:t>in this case,</w:t>
      </w:r>
      <w:r w:rsidRPr="001227B6">
        <w:rPr>
          <w:sz w:val="24"/>
          <w:lang w:val="en-US"/>
        </w:rPr>
        <w:t>anticoagulants.</w:t>
      </w:r>
    </w:p>
    <w:p w14:paraId="24AE42AE" w14:textId="77777777" w:rsidR="00AC43DA" w:rsidRPr="001227B6" w:rsidRDefault="00303B2C">
      <w:pPr>
        <w:pStyle w:val="a3"/>
        <w:ind w:right="358"/>
        <w:rPr>
          <w:lang w:val="en-US"/>
        </w:rPr>
      </w:pPr>
      <w:r w:rsidRPr="001227B6">
        <w:rPr>
          <w:lang w:val="en-US"/>
        </w:rPr>
        <w:t>The studied concentrations of interfering substances are given in Table 5.</w:t>
      </w:r>
    </w:p>
    <w:p w14:paraId="4C40DB10" w14:textId="77777777" w:rsidR="00AC43DA" w:rsidRDefault="00303B2C">
      <w:pPr>
        <w:pStyle w:val="a3"/>
        <w:spacing w:after="11"/>
        <w:ind w:left="894" w:firstLine="0"/>
      </w:pPr>
      <w:r>
        <w:t>Table 5</w:t>
      </w: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0"/>
        <w:gridCol w:w="2483"/>
      </w:tblGrid>
      <w:tr w:rsidR="00AC43DA" w14:paraId="03F8C67E" w14:textId="77777777">
        <w:trPr>
          <w:trHeight w:val="551"/>
        </w:trPr>
        <w:tc>
          <w:tcPr>
            <w:tcW w:w="4600" w:type="dxa"/>
          </w:tcPr>
          <w:p w14:paraId="6F20C416" w14:textId="77777777" w:rsidR="00AC43DA" w:rsidRDefault="00303B2C">
            <w:pPr>
              <w:pStyle w:val="TableParagraph"/>
              <w:spacing w:line="265" w:lineRule="exact"/>
              <w:ind w:left="811"/>
              <w:rPr>
                <w:sz w:val="24"/>
              </w:rPr>
            </w:pPr>
            <w:r>
              <w:rPr>
                <w:sz w:val="24"/>
              </w:rPr>
              <w:t>Interfering substances</w:t>
            </w:r>
          </w:p>
        </w:tc>
        <w:tc>
          <w:tcPr>
            <w:tcW w:w="2483" w:type="dxa"/>
          </w:tcPr>
          <w:p w14:paraId="570F6093" w14:textId="77777777" w:rsidR="00AC43DA" w:rsidRDefault="00303B2C">
            <w:pPr>
              <w:pStyle w:val="TableParagraph"/>
              <w:spacing w:line="230" w:lineRule="auto"/>
              <w:ind w:left="533" w:right="466" w:hanging="39"/>
              <w:rPr>
                <w:sz w:val="24"/>
              </w:rPr>
            </w:pPr>
            <w:r>
              <w:rPr>
                <w:spacing w:val="-1"/>
                <w:sz w:val="24"/>
              </w:rPr>
              <w:t>Maximum</w:t>
            </w:r>
            <w:r>
              <w:rPr>
                <w:sz w:val="24"/>
              </w:rPr>
              <w:t>concentration</w:t>
            </w:r>
          </w:p>
        </w:tc>
      </w:tr>
      <w:tr w:rsidR="00AC43DA" w14:paraId="255200E7" w14:textId="77777777">
        <w:trPr>
          <w:trHeight w:val="275"/>
        </w:trPr>
        <w:tc>
          <w:tcPr>
            <w:tcW w:w="7083" w:type="dxa"/>
            <w:gridSpan w:val="2"/>
          </w:tcPr>
          <w:p w14:paraId="79E37024" w14:textId="77777777" w:rsidR="00AC43DA" w:rsidRDefault="00303B2C">
            <w:pPr>
              <w:pStyle w:val="TableParagraph"/>
              <w:spacing w:line="256" w:lineRule="exact"/>
              <w:ind w:left="909" w:right="903"/>
              <w:jc w:val="center"/>
              <w:rPr>
                <w:b/>
                <w:sz w:val="24"/>
              </w:rPr>
            </w:pPr>
            <w:r>
              <w:rPr>
                <w:b/>
                <w:sz w:val="24"/>
              </w:rPr>
              <w:t>Endogenous interfering substances</w:t>
            </w:r>
          </w:p>
        </w:tc>
      </w:tr>
      <w:tr w:rsidR="00AC43DA" w14:paraId="08F118C0" w14:textId="77777777">
        <w:trPr>
          <w:trHeight w:val="275"/>
        </w:trPr>
        <w:tc>
          <w:tcPr>
            <w:tcW w:w="4600" w:type="dxa"/>
          </w:tcPr>
          <w:p w14:paraId="55F96014" w14:textId="77777777" w:rsidR="00AC43DA" w:rsidRDefault="00303B2C">
            <w:pPr>
              <w:pStyle w:val="TableParagraph"/>
              <w:spacing w:line="256" w:lineRule="exact"/>
              <w:ind w:left="113"/>
              <w:rPr>
                <w:sz w:val="24"/>
              </w:rPr>
            </w:pPr>
            <w:r>
              <w:rPr>
                <w:sz w:val="24"/>
              </w:rPr>
              <w:t>Hemoglobin</w:t>
            </w:r>
          </w:p>
        </w:tc>
        <w:tc>
          <w:tcPr>
            <w:tcW w:w="2483" w:type="dxa"/>
          </w:tcPr>
          <w:p w14:paraId="5AE7C804" w14:textId="77777777" w:rsidR="00AC43DA" w:rsidRDefault="00303B2C">
            <w:pPr>
              <w:pStyle w:val="TableParagraph"/>
              <w:spacing w:line="256" w:lineRule="exact"/>
              <w:ind w:left="114"/>
              <w:rPr>
                <w:sz w:val="24"/>
              </w:rPr>
            </w:pPr>
            <w:r>
              <w:rPr>
                <w:sz w:val="24"/>
              </w:rPr>
              <w:t>260 µg/ml</w:t>
            </w:r>
          </w:p>
        </w:tc>
      </w:tr>
      <w:tr w:rsidR="00AC43DA" w14:paraId="72E3B52B" w14:textId="77777777">
        <w:trPr>
          <w:trHeight w:val="276"/>
        </w:trPr>
        <w:tc>
          <w:tcPr>
            <w:tcW w:w="4600" w:type="dxa"/>
          </w:tcPr>
          <w:p w14:paraId="244F2251" w14:textId="77777777" w:rsidR="00AC43DA" w:rsidRDefault="00303B2C">
            <w:pPr>
              <w:pStyle w:val="TableParagraph"/>
              <w:spacing w:line="256" w:lineRule="exact"/>
              <w:ind w:left="113"/>
              <w:rPr>
                <w:sz w:val="24"/>
              </w:rPr>
            </w:pPr>
            <w:r>
              <w:rPr>
                <w:sz w:val="24"/>
              </w:rPr>
              <w:t>Heparin (anticoagulant)</w:t>
            </w:r>
          </w:p>
        </w:tc>
        <w:tc>
          <w:tcPr>
            <w:tcW w:w="2483" w:type="dxa"/>
          </w:tcPr>
          <w:p w14:paraId="0AE4497B" w14:textId="77777777" w:rsidR="00AC43DA" w:rsidRDefault="00303B2C">
            <w:pPr>
              <w:pStyle w:val="TableParagraph"/>
              <w:spacing w:line="256" w:lineRule="exact"/>
              <w:ind w:left="114"/>
              <w:rPr>
                <w:sz w:val="24"/>
              </w:rPr>
            </w:pPr>
            <w:r>
              <w:rPr>
                <w:sz w:val="24"/>
              </w:rPr>
              <w:t>0.15 IU/ml</w:t>
            </w:r>
          </w:p>
        </w:tc>
      </w:tr>
      <w:tr w:rsidR="00AC43DA" w14:paraId="0AC3FD31" w14:textId="77777777">
        <w:trPr>
          <w:trHeight w:val="275"/>
        </w:trPr>
        <w:tc>
          <w:tcPr>
            <w:tcW w:w="4600" w:type="dxa"/>
          </w:tcPr>
          <w:p w14:paraId="24AA2962" w14:textId="77777777" w:rsidR="00AC43DA" w:rsidRDefault="00303B2C">
            <w:pPr>
              <w:pStyle w:val="TableParagraph"/>
              <w:spacing w:line="256" w:lineRule="exact"/>
              <w:ind w:left="113"/>
              <w:rPr>
                <w:sz w:val="24"/>
              </w:rPr>
            </w:pPr>
            <w:r>
              <w:rPr>
                <w:sz w:val="24"/>
              </w:rPr>
              <w:t>Sodium citrate (anticoagulant)</w:t>
            </w:r>
          </w:p>
        </w:tc>
        <w:tc>
          <w:tcPr>
            <w:tcW w:w="2483" w:type="dxa"/>
          </w:tcPr>
          <w:p w14:paraId="2F026AB2" w14:textId="77777777" w:rsidR="00AC43DA" w:rsidRDefault="00303B2C">
            <w:pPr>
              <w:pStyle w:val="TableParagraph"/>
              <w:spacing w:line="256" w:lineRule="exact"/>
              <w:ind w:left="114"/>
              <w:rPr>
                <w:sz w:val="24"/>
              </w:rPr>
            </w:pPr>
            <w:r>
              <w:rPr>
                <w:sz w:val="24"/>
              </w:rPr>
              <w:t>0.1 mm/ml</w:t>
            </w:r>
          </w:p>
        </w:tc>
      </w:tr>
      <w:tr w:rsidR="00AC43DA" w14:paraId="4EF5DF80" w14:textId="77777777">
        <w:trPr>
          <w:trHeight w:val="273"/>
        </w:trPr>
        <w:tc>
          <w:tcPr>
            <w:tcW w:w="4600" w:type="dxa"/>
          </w:tcPr>
          <w:p w14:paraId="1BD50211" w14:textId="77777777" w:rsidR="00AC43DA" w:rsidRDefault="00303B2C">
            <w:pPr>
              <w:pStyle w:val="TableParagraph"/>
              <w:spacing w:line="253" w:lineRule="exact"/>
              <w:ind w:left="113"/>
              <w:rPr>
                <w:sz w:val="24"/>
              </w:rPr>
            </w:pPr>
            <w:r>
              <w:rPr>
                <w:sz w:val="24"/>
              </w:rPr>
              <w:t>EDTA-K2 (anticoagulant)</w:t>
            </w:r>
          </w:p>
        </w:tc>
        <w:tc>
          <w:tcPr>
            <w:tcW w:w="2483" w:type="dxa"/>
          </w:tcPr>
          <w:p w14:paraId="55BD01AB" w14:textId="77777777" w:rsidR="00AC43DA" w:rsidRDefault="00303B2C">
            <w:pPr>
              <w:pStyle w:val="TableParagraph"/>
              <w:spacing w:line="253" w:lineRule="exact"/>
              <w:ind w:left="114"/>
              <w:rPr>
                <w:sz w:val="24"/>
              </w:rPr>
            </w:pPr>
            <w:r>
              <w:rPr>
                <w:sz w:val="24"/>
              </w:rPr>
              <w:t>0.5 mm/ml</w:t>
            </w:r>
          </w:p>
        </w:tc>
      </w:tr>
      <w:tr w:rsidR="00AC43DA" w14:paraId="1DA85586" w14:textId="77777777">
        <w:trPr>
          <w:trHeight w:val="275"/>
        </w:trPr>
        <w:tc>
          <w:tcPr>
            <w:tcW w:w="4600" w:type="dxa"/>
          </w:tcPr>
          <w:p w14:paraId="498C1E4C" w14:textId="77777777" w:rsidR="00AC43DA" w:rsidRDefault="00303B2C">
            <w:pPr>
              <w:pStyle w:val="TableParagraph"/>
              <w:spacing w:line="256" w:lineRule="exact"/>
              <w:ind w:left="113"/>
              <w:rPr>
                <w:sz w:val="24"/>
              </w:rPr>
            </w:pPr>
            <w:r>
              <w:rPr>
                <w:sz w:val="24"/>
              </w:rPr>
              <w:t>Cholesterol</w:t>
            </w:r>
          </w:p>
        </w:tc>
        <w:tc>
          <w:tcPr>
            <w:tcW w:w="2483" w:type="dxa"/>
          </w:tcPr>
          <w:p w14:paraId="1F73198F" w14:textId="77777777" w:rsidR="00AC43DA" w:rsidRDefault="00303B2C">
            <w:pPr>
              <w:pStyle w:val="TableParagraph"/>
              <w:spacing w:line="256" w:lineRule="exact"/>
              <w:ind w:left="114"/>
              <w:rPr>
                <w:sz w:val="24"/>
              </w:rPr>
            </w:pPr>
            <w:r>
              <w:rPr>
                <w:sz w:val="24"/>
              </w:rPr>
              <w:t>150 mg/dl</w:t>
            </w:r>
          </w:p>
        </w:tc>
      </w:tr>
      <w:tr w:rsidR="00AC43DA" w14:paraId="258877E1" w14:textId="77777777">
        <w:trPr>
          <w:trHeight w:val="275"/>
        </w:trPr>
        <w:tc>
          <w:tcPr>
            <w:tcW w:w="4600" w:type="dxa"/>
          </w:tcPr>
          <w:p w14:paraId="5DE5AF99" w14:textId="77777777" w:rsidR="00AC43DA" w:rsidRDefault="00303B2C">
            <w:pPr>
              <w:pStyle w:val="TableParagraph"/>
              <w:spacing w:line="256" w:lineRule="exact"/>
              <w:ind w:left="113"/>
              <w:rPr>
                <w:sz w:val="24"/>
              </w:rPr>
            </w:pPr>
            <w:r>
              <w:rPr>
                <w:sz w:val="24"/>
              </w:rPr>
              <w:t>Triglycerides</w:t>
            </w:r>
          </w:p>
        </w:tc>
        <w:tc>
          <w:tcPr>
            <w:tcW w:w="2483" w:type="dxa"/>
          </w:tcPr>
          <w:p w14:paraId="4F8E6A15" w14:textId="77777777" w:rsidR="00AC43DA" w:rsidRDefault="00303B2C">
            <w:pPr>
              <w:pStyle w:val="TableParagraph"/>
              <w:spacing w:line="256" w:lineRule="exact"/>
              <w:ind w:left="114"/>
              <w:rPr>
                <w:sz w:val="24"/>
              </w:rPr>
            </w:pPr>
            <w:r>
              <w:rPr>
                <w:sz w:val="24"/>
              </w:rPr>
              <w:t>250 mg/dl</w:t>
            </w:r>
          </w:p>
        </w:tc>
      </w:tr>
      <w:tr w:rsidR="00AC43DA" w14:paraId="62EADA16" w14:textId="77777777">
        <w:trPr>
          <w:trHeight w:val="277"/>
        </w:trPr>
        <w:tc>
          <w:tcPr>
            <w:tcW w:w="7083" w:type="dxa"/>
            <w:gridSpan w:val="2"/>
          </w:tcPr>
          <w:p w14:paraId="7F6BBAD1" w14:textId="77777777" w:rsidR="00AC43DA" w:rsidRDefault="00303B2C">
            <w:pPr>
              <w:pStyle w:val="TableParagraph"/>
              <w:spacing w:line="258" w:lineRule="exact"/>
              <w:ind w:left="906" w:right="903"/>
              <w:jc w:val="center"/>
              <w:rPr>
                <w:b/>
                <w:sz w:val="24"/>
              </w:rPr>
            </w:pPr>
            <w:r>
              <w:rPr>
                <w:b/>
                <w:sz w:val="24"/>
              </w:rPr>
              <w:t>Exogenous interfering substances</w:t>
            </w:r>
          </w:p>
        </w:tc>
      </w:tr>
      <w:tr w:rsidR="00AC43DA" w14:paraId="0B747A4F" w14:textId="77777777">
        <w:trPr>
          <w:trHeight w:val="275"/>
        </w:trPr>
        <w:tc>
          <w:tcPr>
            <w:tcW w:w="7083" w:type="dxa"/>
            <w:gridSpan w:val="2"/>
          </w:tcPr>
          <w:p w14:paraId="66BD6910" w14:textId="77777777" w:rsidR="00AC43DA" w:rsidRDefault="00303B2C">
            <w:pPr>
              <w:pStyle w:val="TableParagraph"/>
              <w:spacing w:line="256" w:lineRule="exact"/>
              <w:ind w:left="1925"/>
              <w:rPr>
                <w:sz w:val="24"/>
              </w:rPr>
            </w:pPr>
            <w:r>
              <w:rPr>
                <w:sz w:val="24"/>
              </w:rPr>
              <w:t>During anticoagulant therapy</w:t>
            </w:r>
          </w:p>
        </w:tc>
      </w:tr>
      <w:tr w:rsidR="00AC43DA" w14:paraId="00E13577" w14:textId="77777777">
        <w:trPr>
          <w:trHeight w:val="273"/>
        </w:trPr>
        <w:tc>
          <w:tcPr>
            <w:tcW w:w="4600" w:type="dxa"/>
          </w:tcPr>
          <w:p w14:paraId="0E84E6F8" w14:textId="77777777" w:rsidR="00AC43DA" w:rsidRDefault="00303B2C">
            <w:pPr>
              <w:pStyle w:val="TableParagraph"/>
              <w:spacing w:line="253" w:lineRule="exact"/>
              <w:ind w:left="113"/>
              <w:rPr>
                <w:sz w:val="24"/>
              </w:rPr>
            </w:pPr>
            <w:r>
              <w:rPr>
                <w:sz w:val="24"/>
              </w:rPr>
              <w:t>Heparin</w:t>
            </w:r>
          </w:p>
        </w:tc>
        <w:tc>
          <w:tcPr>
            <w:tcW w:w="2483" w:type="dxa"/>
          </w:tcPr>
          <w:p w14:paraId="1B9D6966" w14:textId="77777777" w:rsidR="00AC43DA" w:rsidRDefault="00303B2C">
            <w:pPr>
              <w:pStyle w:val="TableParagraph"/>
              <w:spacing w:line="253" w:lineRule="exact"/>
              <w:ind w:left="114"/>
              <w:rPr>
                <w:sz w:val="24"/>
              </w:rPr>
            </w:pPr>
            <w:r>
              <w:rPr>
                <w:sz w:val="24"/>
              </w:rPr>
              <w:t>1 IU/ml</w:t>
            </w:r>
          </w:p>
        </w:tc>
      </w:tr>
      <w:tr w:rsidR="00AC43DA" w:rsidRPr="00E15906" w14:paraId="7DFB4F92" w14:textId="77777777">
        <w:trPr>
          <w:trHeight w:val="276"/>
        </w:trPr>
        <w:tc>
          <w:tcPr>
            <w:tcW w:w="7083" w:type="dxa"/>
            <w:gridSpan w:val="2"/>
          </w:tcPr>
          <w:p w14:paraId="5ACCCDAD" w14:textId="77777777" w:rsidR="00AC43DA" w:rsidRPr="001227B6" w:rsidRDefault="00303B2C">
            <w:pPr>
              <w:pStyle w:val="TableParagraph"/>
              <w:spacing w:line="256" w:lineRule="exact"/>
              <w:ind w:left="583"/>
              <w:rPr>
                <w:sz w:val="24"/>
                <w:lang w:val="en-US"/>
              </w:rPr>
            </w:pPr>
            <w:r w:rsidRPr="001227B6">
              <w:rPr>
                <w:sz w:val="24"/>
                <w:lang w:val="en-US"/>
              </w:rPr>
              <w:t>Drugs prescribed for viral hepatitis B, C, D</w:t>
            </w:r>
          </w:p>
        </w:tc>
      </w:tr>
      <w:tr w:rsidR="00AC43DA" w14:paraId="77318E2A" w14:textId="77777777">
        <w:trPr>
          <w:trHeight w:val="275"/>
        </w:trPr>
        <w:tc>
          <w:tcPr>
            <w:tcW w:w="4600" w:type="dxa"/>
          </w:tcPr>
          <w:p w14:paraId="2D2884A8" w14:textId="77777777" w:rsidR="00AC43DA" w:rsidRDefault="00303B2C">
            <w:pPr>
              <w:pStyle w:val="TableParagraph"/>
              <w:spacing w:line="256" w:lineRule="exact"/>
              <w:ind w:left="113"/>
              <w:rPr>
                <w:sz w:val="24"/>
              </w:rPr>
            </w:pPr>
            <w:r>
              <w:rPr>
                <w:sz w:val="24"/>
              </w:rPr>
              <w:t>Interferon alpha</w:t>
            </w:r>
          </w:p>
        </w:tc>
        <w:tc>
          <w:tcPr>
            <w:tcW w:w="2483" w:type="dxa"/>
          </w:tcPr>
          <w:p w14:paraId="0675FB2C" w14:textId="77777777" w:rsidR="00AC43DA" w:rsidRDefault="00303B2C">
            <w:pPr>
              <w:pStyle w:val="TableParagraph"/>
              <w:spacing w:line="256" w:lineRule="exact"/>
              <w:ind w:left="114"/>
              <w:rPr>
                <w:sz w:val="24"/>
              </w:rPr>
            </w:pPr>
            <w:r>
              <w:rPr>
                <w:sz w:val="24"/>
              </w:rPr>
              <w:t>1000 IU/ml</w:t>
            </w:r>
          </w:p>
        </w:tc>
      </w:tr>
      <w:tr w:rsidR="00AC43DA" w14:paraId="2C7C151B" w14:textId="77777777">
        <w:trPr>
          <w:trHeight w:val="275"/>
        </w:trPr>
        <w:tc>
          <w:tcPr>
            <w:tcW w:w="4600" w:type="dxa"/>
          </w:tcPr>
          <w:p w14:paraId="4327D087" w14:textId="77777777" w:rsidR="00AC43DA" w:rsidRDefault="00303B2C">
            <w:pPr>
              <w:pStyle w:val="TableParagraph"/>
              <w:spacing w:line="256" w:lineRule="exact"/>
              <w:ind w:left="113"/>
              <w:rPr>
                <w:sz w:val="24"/>
              </w:rPr>
            </w:pPr>
            <w:r>
              <w:rPr>
                <w:sz w:val="24"/>
              </w:rPr>
              <w:t>Pegylated interferon alfa</w:t>
            </w:r>
          </w:p>
        </w:tc>
        <w:tc>
          <w:tcPr>
            <w:tcW w:w="2483" w:type="dxa"/>
          </w:tcPr>
          <w:p w14:paraId="69779AD7" w14:textId="77777777" w:rsidR="00AC43DA" w:rsidRDefault="00303B2C">
            <w:pPr>
              <w:pStyle w:val="TableParagraph"/>
              <w:spacing w:line="256" w:lineRule="exact"/>
              <w:ind w:left="114"/>
              <w:rPr>
                <w:sz w:val="24"/>
              </w:rPr>
            </w:pPr>
            <w:r>
              <w:rPr>
                <w:sz w:val="24"/>
              </w:rPr>
              <w:t>0.036 µg/ml</w:t>
            </w:r>
          </w:p>
        </w:tc>
      </w:tr>
      <w:tr w:rsidR="00AC43DA" w:rsidRPr="00E15906" w14:paraId="22A808D8" w14:textId="77777777">
        <w:trPr>
          <w:trHeight w:val="275"/>
        </w:trPr>
        <w:tc>
          <w:tcPr>
            <w:tcW w:w="7083" w:type="dxa"/>
            <w:gridSpan w:val="2"/>
          </w:tcPr>
          <w:p w14:paraId="2F426EF9" w14:textId="77777777" w:rsidR="00AC43DA" w:rsidRPr="001227B6" w:rsidRDefault="00303B2C">
            <w:pPr>
              <w:pStyle w:val="TableParagraph"/>
              <w:spacing w:line="256" w:lineRule="exact"/>
              <w:ind w:left="916" w:right="903"/>
              <w:jc w:val="center"/>
              <w:rPr>
                <w:sz w:val="24"/>
                <w:lang w:val="en-US"/>
              </w:rPr>
            </w:pPr>
            <w:r w:rsidRPr="001227B6">
              <w:rPr>
                <w:sz w:val="24"/>
                <w:lang w:val="en-US"/>
              </w:rPr>
              <w:t>Drugs prescribed for viral hepatitis B</w:t>
            </w:r>
          </w:p>
        </w:tc>
      </w:tr>
    </w:tbl>
    <w:p w14:paraId="23681DC3" w14:textId="77777777" w:rsidR="00AC43DA" w:rsidRPr="001227B6" w:rsidRDefault="00AC43DA">
      <w:pPr>
        <w:spacing w:line="256" w:lineRule="exact"/>
        <w:jc w:val="center"/>
        <w:rPr>
          <w:sz w:val="24"/>
          <w:lang w:val="en-US"/>
        </w:rPr>
        <w:sectPr w:rsidR="00AC43DA" w:rsidRPr="001227B6">
          <w:pgSz w:w="8400" w:h="11920"/>
          <w:pgMar w:top="680" w:right="240" w:bottom="620" w:left="380" w:header="0" w:footer="378" w:gutter="0"/>
          <w:cols w:space="720"/>
        </w:sect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0"/>
        <w:gridCol w:w="2483"/>
      </w:tblGrid>
      <w:tr w:rsidR="00AC43DA" w14:paraId="456DEE53" w14:textId="77777777">
        <w:trPr>
          <w:trHeight w:val="278"/>
        </w:trPr>
        <w:tc>
          <w:tcPr>
            <w:tcW w:w="4600" w:type="dxa"/>
          </w:tcPr>
          <w:p w14:paraId="6C4A8CC4" w14:textId="77777777" w:rsidR="00AC43DA" w:rsidRDefault="00303B2C">
            <w:pPr>
              <w:pStyle w:val="TableParagraph"/>
              <w:spacing w:line="258" w:lineRule="exact"/>
              <w:ind w:left="113"/>
              <w:rPr>
                <w:sz w:val="24"/>
              </w:rPr>
            </w:pPr>
            <w:r>
              <w:rPr>
                <w:sz w:val="24"/>
              </w:rPr>
              <w:lastRenderedPageBreak/>
              <w:t>Lamivudine</w:t>
            </w:r>
          </w:p>
        </w:tc>
        <w:tc>
          <w:tcPr>
            <w:tcW w:w="2483" w:type="dxa"/>
          </w:tcPr>
          <w:p w14:paraId="03072D9F" w14:textId="77777777" w:rsidR="00AC43DA" w:rsidRDefault="00303B2C">
            <w:pPr>
              <w:pStyle w:val="TableParagraph"/>
              <w:spacing w:line="258" w:lineRule="exact"/>
              <w:ind w:left="114"/>
              <w:rPr>
                <w:sz w:val="24"/>
              </w:rPr>
            </w:pPr>
            <w:r>
              <w:rPr>
                <w:sz w:val="24"/>
              </w:rPr>
              <w:t>0.02 mg/ml</w:t>
            </w:r>
          </w:p>
        </w:tc>
      </w:tr>
      <w:tr w:rsidR="00AC43DA" w14:paraId="2646A336" w14:textId="77777777">
        <w:trPr>
          <w:trHeight w:val="273"/>
        </w:trPr>
        <w:tc>
          <w:tcPr>
            <w:tcW w:w="4600" w:type="dxa"/>
            <w:tcBorders>
              <w:bottom w:val="single" w:sz="6" w:space="0" w:color="000000"/>
            </w:tcBorders>
          </w:tcPr>
          <w:p w14:paraId="255CBD86" w14:textId="77777777" w:rsidR="00AC43DA" w:rsidRDefault="00303B2C">
            <w:pPr>
              <w:pStyle w:val="TableParagraph"/>
              <w:spacing w:line="253" w:lineRule="exact"/>
              <w:ind w:left="113"/>
              <w:rPr>
                <w:sz w:val="24"/>
              </w:rPr>
            </w:pPr>
            <w:r>
              <w:rPr>
                <w:sz w:val="24"/>
              </w:rPr>
              <w:t>Entecavir</w:t>
            </w:r>
          </w:p>
        </w:tc>
        <w:tc>
          <w:tcPr>
            <w:tcW w:w="2483" w:type="dxa"/>
            <w:tcBorders>
              <w:bottom w:val="single" w:sz="6" w:space="0" w:color="000000"/>
            </w:tcBorders>
          </w:tcPr>
          <w:p w14:paraId="71DF8037" w14:textId="77777777" w:rsidR="00AC43DA" w:rsidRDefault="00303B2C">
            <w:pPr>
              <w:pStyle w:val="TableParagraph"/>
              <w:spacing w:line="253" w:lineRule="exact"/>
              <w:ind w:left="114"/>
              <w:rPr>
                <w:sz w:val="24"/>
              </w:rPr>
            </w:pPr>
            <w:r>
              <w:rPr>
                <w:sz w:val="24"/>
              </w:rPr>
              <w:t>0.1*10-3 mg/ml</w:t>
            </w:r>
          </w:p>
        </w:tc>
      </w:tr>
      <w:tr w:rsidR="00AC43DA" w14:paraId="19D64B91" w14:textId="77777777">
        <w:trPr>
          <w:trHeight w:val="273"/>
        </w:trPr>
        <w:tc>
          <w:tcPr>
            <w:tcW w:w="4600" w:type="dxa"/>
            <w:tcBorders>
              <w:top w:val="single" w:sz="6" w:space="0" w:color="000000"/>
            </w:tcBorders>
          </w:tcPr>
          <w:p w14:paraId="7EF01160" w14:textId="77777777" w:rsidR="00AC43DA" w:rsidRDefault="00303B2C">
            <w:pPr>
              <w:pStyle w:val="TableParagraph"/>
              <w:spacing w:line="253" w:lineRule="exact"/>
              <w:ind w:left="113"/>
              <w:rPr>
                <w:sz w:val="24"/>
              </w:rPr>
            </w:pPr>
            <w:r>
              <w:rPr>
                <w:sz w:val="24"/>
              </w:rPr>
              <w:t>Telbivudin</w:t>
            </w:r>
          </w:p>
        </w:tc>
        <w:tc>
          <w:tcPr>
            <w:tcW w:w="2483" w:type="dxa"/>
            <w:tcBorders>
              <w:top w:val="single" w:sz="6" w:space="0" w:color="000000"/>
            </w:tcBorders>
          </w:tcPr>
          <w:p w14:paraId="5AD78A02" w14:textId="77777777" w:rsidR="00AC43DA" w:rsidRDefault="00303B2C">
            <w:pPr>
              <w:pStyle w:val="TableParagraph"/>
              <w:spacing w:line="253" w:lineRule="exact"/>
              <w:ind w:left="114"/>
              <w:rPr>
                <w:sz w:val="24"/>
              </w:rPr>
            </w:pPr>
            <w:r>
              <w:rPr>
                <w:sz w:val="24"/>
              </w:rPr>
              <w:t>0.12 mg/ml</w:t>
            </w:r>
          </w:p>
        </w:tc>
      </w:tr>
      <w:tr w:rsidR="00AC43DA" w:rsidRPr="00E15906" w14:paraId="06D61F5A" w14:textId="77777777">
        <w:trPr>
          <w:trHeight w:val="275"/>
        </w:trPr>
        <w:tc>
          <w:tcPr>
            <w:tcW w:w="7083" w:type="dxa"/>
            <w:gridSpan w:val="2"/>
          </w:tcPr>
          <w:p w14:paraId="4D1DAF2D" w14:textId="77777777" w:rsidR="00AC43DA" w:rsidRPr="001227B6" w:rsidRDefault="00303B2C">
            <w:pPr>
              <w:pStyle w:val="TableParagraph"/>
              <w:spacing w:line="256" w:lineRule="exact"/>
              <w:ind w:left="916" w:right="903"/>
              <w:jc w:val="center"/>
              <w:rPr>
                <w:sz w:val="24"/>
                <w:lang w:val="en-US"/>
              </w:rPr>
            </w:pPr>
            <w:r w:rsidRPr="001227B6">
              <w:rPr>
                <w:sz w:val="24"/>
                <w:lang w:val="en-US"/>
              </w:rPr>
              <w:t>Drugs prescribed for viral hepatitis C</w:t>
            </w:r>
          </w:p>
        </w:tc>
      </w:tr>
      <w:tr w:rsidR="00AC43DA" w14:paraId="19901381" w14:textId="77777777">
        <w:trPr>
          <w:trHeight w:val="273"/>
        </w:trPr>
        <w:tc>
          <w:tcPr>
            <w:tcW w:w="4600" w:type="dxa"/>
          </w:tcPr>
          <w:p w14:paraId="5F7D768B" w14:textId="77777777" w:rsidR="00AC43DA" w:rsidRDefault="00303B2C">
            <w:pPr>
              <w:pStyle w:val="TableParagraph"/>
              <w:spacing w:line="253" w:lineRule="exact"/>
              <w:ind w:left="113"/>
              <w:rPr>
                <w:sz w:val="24"/>
              </w:rPr>
            </w:pPr>
            <w:r>
              <w:rPr>
                <w:sz w:val="24"/>
              </w:rPr>
              <w:t>Ribavirin</w:t>
            </w:r>
          </w:p>
        </w:tc>
        <w:tc>
          <w:tcPr>
            <w:tcW w:w="2483" w:type="dxa"/>
          </w:tcPr>
          <w:p w14:paraId="6B398AD6" w14:textId="77777777" w:rsidR="00AC43DA" w:rsidRDefault="00303B2C">
            <w:pPr>
              <w:pStyle w:val="TableParagraph"/>
              <w:spacing w:line="253" w:lineRule="exact"/>
              <w:ind w:left="114"/>
              <w:rPr>
                <w:sz w:val="24"/>
              </w:rPr>
            </w:pPr>
            <w:r>
              <w:rPr>
                <w:sz w:val="24"/>
              </w:rPr>
              <w:t>0.04 mg/ml</w:t>
            </w:r>
          </w:p>
        </w:tc>
      </w:tr>
      <w:tr w:rsidR="00AC43DA" w14:paraId="6F827B4F" w14:textId="77777777">
        <w:trPr>
          <w:trHeight w:val="275"/>
        </w:trPr>
        <w:tc>
          <w:tcPr>
            <w:tcW w:w="4600" w:type="dxa"/>
          </w:tcPr>
          <w:p w14:paraId="4748F4BC" w14:textId="77777777" w:rsidR="00AC43DA" w:rsidRDefault="00303B2C">
            <w:pPr>
              <w:pStyle w:val="TableParagraph"/>
              <w:spacing w:line="256" w:lineRule="exact"/>
              <w:ind w:left="113"/>
              <w:rPr>
                <w:sz w:val="24"/>
              </w:rPr>
            </w:pPr>
            <w:r>
              <w:rPr>
                <w:sz w:val="24"/>
              </w:rPr>
              <w:t>Narlaprevir</w:t>
            </w:r>
          </w:p>
        </w:tc>
        <w:tc>
          <w:tcPr>
            <w:tcW w:w="2483" w:type="dxa"/>
          </w:tcPr>
          <w:p w14:paraId="54E1A4F7" w14:textId="77777777" w:rsidR="00AC43DA" w:rsidRDefault="00303B2C">
            <w:pPr>
              <w:pStyle w:val="TableParagraph"/>
              <w:spacing w:line="256" w:lineRule="exact"/>
              <w:ind w:left="114"/>
              <w:rPr>
                <w:sz w:val="24"/>
              </w:rPr>
            </w:pPr>
            <w:r>
              <w:rPr>
                <w:sz w:val="24"/>
              </w:rPr>
              <w:t>0.02 mg/ml</w:t>
            </w:r>
          </w:p>
        </w:tc>
      </w:tr>
      <w:tr w:rsidR="00AC43DA" w14:paraId="0C8A3DE4" w14:textId="77777777">
        <w:trPr>
          <w:trHeight w:val="277"/>
        </w:trPr>
        <w:tc>
          <w:tcPr>
            <w:tcW w:w="4600" w:type="dxa"/>
          </w:tcPr>
          <w:p w14:paraId="7BC16EE5" w14:textId="77777777" w:rsidR="00AC43DA" w:rsidRDefault="00303B2C">
            <w:pPr>
              <w:pStyle w:val="TableParagraph"/>
              <w:spacing w:line="258" w:lineRule="exact"/>
              <w:ind w:left="113"/>
              <w:rPr>
                <w:sz w:val="24"/>
              </w:rPr>
            </w:pPr>
            <w:r>
              <w:rPr>
                <w:sz w:val="24"/>
              </w:rPr>
              <w:t>Paritaprevir</w:t>
            </w:r>
          </w:p>
        </w:tc>
        <w:tc>
          <w:tcPr>
            <w:tcW w:w="2483" w:type="dxa"/>
          </w:tcPr>
          <w:p w14:paraId="46C8484B" w14:textId="77777777" w:rsidR="00AC43DA" w:rsidRDefault="00303B2C">
            <w:pPr>
              <w:pStyle w:val="TableParagraph"/>
              <w:spacing w:line="258" w:lineRule="exact"/>
              <w:ind w:left="114"/>
              <w:rPr>
                <w:sz w:val="24"/>
              </w:rPr>
            </w:pPr>
            <w:r>
              <w:rPr>
                <w:sz w:val="24"/>
              </w:rPr>
              <w:t>0.015 mg/ml</w:t>
            </w:r>
          </w:p>
        </w:tc>
      </w:tr>
      <w:tr w:rsidR="00AC43DA" w14:paraId="6886A3C9" w14:textId="77777777">
        <w:trPr>
          <w:trHeight w:val="275"/>
        </w:trPr>
        <w:tc>
          <w:tcPr>
            <w:tcW w:w="4600" w:type="dxa"/>
          </w:tcPr>
          <w:p w14:paraId="2E7502BC" w14:textId="77777777" w:rsidR="00AC43DA" w:rsidRDefault="00303B2C">
            <w:pPr>
              <w:pStyle w:val="TableParagraph"/>
              <w:spacing w:line="256" w:lineRule="exact"/>
              <w:ind w:left="113"/>
              <w:rPr>
                <w:sz w:val="24"/>
              </w:rPr>
            </w:pPr>
            <w:r>
              <w:rPr>
                <w:sz w:val="24"/>
              </w:rPr>
              <w:t>Dasabuvir</w:t>
            </w:r>
          </w:p>
        </w:tc>
        <w:tc>
          <w:tcPr>
            <w:tcW w:w="2483" w:type="dxa"/>
          </w:tcPr>
          <w:p w14:paraId="59F6B4E5" w14:textId="77777777" w:rsidR="00AC43DA" w:rsidRDefault="00303B2C">
            <w:pPr>
              <w:pStyle w:val="TableParagraph"/>
              <w:spacing w:line="256" w:lineRule="exact"/>
              <w:ind w:left="114"/>
              <w:rPr>
                <w:sz w:val="24"/>
              </w:rPr>
            </w:pPr>
            <w:r>
              <w:rPr>
                <w:sz w:val="24"/>
              </w:rPr>
              <w:t>0.05 mg/ml</w:t>
            </w:r>
          </w:p>
        </w:tc>
      </w:tr>
      <w:tr w:rsidR="00AC43DA" w14:paraId="55B70EEC" w14:textId="77777777">
        <w:trPr>
          <w:trHeight w:val="273"/>
        </w:trPr>
        <w:tc>
          <w:tcPr>
            <w:tcW w:w="4600" w:type="dxa"/>
          </w:tcPr>
          <w:p w14:paraId="104633C2" w14:textId="77777777" w:rsidR="00AC43DA" w:rsidRDefault="00303B2C">
            <w:pPr>
              <w:pStyle w:val="TableParagraph"/>
              <w:spacing w:line="253" w:lineRule="exact"/>
              <w:ind w:left="113"/>
              <w:rPr>
                <w:sz w:val="24"/>
              </w:rPr>
            </w:pPr>
            <w:r>
              <w:rPr>
                <w:sz w:val="24"/>
              </w:rPr>
              <w:t>Sofosbuvir</w:t>
            </w:r>
          </w:p>
        </w:tc>
        <w:tc>
          <w:tcPr>
            <w:tcW w:w="2483" w:type="dxa"/>
          </w:tcPr>
          <w:p w14:paraId="703C55DE" w14:textId="77777777" w:rsidR="00AC43DA" w:rsidRDefault="00303B2C">
            <w:pPr>
              <w:pStyle w:val="TableParagraph"/>
              <w:spacing w:line="253" w:lineRule="exact"/>
              <w:ind w:left="114"/>
              <w:rPr>
                <w:sz w:val="24"/>
              </w:rPr>
            </w:pPr>
            <w:r>
              <w:rPr>
                <w:sz w:val="24"/>
              </w:rPr>
              <w:t>0.08 mg/ml</w:t>
            </w:r>
          </w:p>
        </w:tc>
      </w:tr>
      <w:tr w:rsidR="00AC43DA" w14:paraId="000FD4B5" w14:textId="77777777">
        <w:trPr>
          <w:trHeight w:val="276"/>
        </w:trPr>
        <w:tc>
          <w:tcPr>
            <w:tcW w:w="4600" w:type="dxa"/>
          </w:tcPr>
          <w:p w14:paraId="6AC45583" w14:textId="77777777" w:rsidR="00AC43DA" w:rsidRDefault="00303B2C">
            <w:pPr>
              <w:pStyle w:val="TableParagraph"/>
              <w:spacing w:line="256" w:lineRule="exact"/>
              <w:ind w:left="113"/>
              <w:rPr>
                <w:sz w:val="24"/>
              </w:rPr>
            </w:pPr>
            <w:r>
              <w:rPr>
                <w:sz w:val="24"/>
              </w:rPr>
              <w:t>Daclatasvir</w:t>
            </w:r>
          </w:p>
        </w:tc>
        <w:tc>
          <w:tcPr>
            <w:tcW w:w="2483" w:type="dxa"/>
          </w:tcPr>
          <w:p w14:paraId="0911845F" w14:textId="77777777" w:rsidR="00AC43DA" w:rsidRDefault="00303B2C">
            <w:pPr>
              <w:pStyle w:val="TableParagraph"/>
              <w:spacing w:line="256" w:lineRule="exact"/>
              <w:ind w:left="114"/>
              <w:rPr>
                <w:sz w:val="24"/>
              </w:rPr>
            </w:pPr>
            <w:r>
              <w:rPr>
                <w:sz w:val="24"/>
              </w:rPr>
              <w:t>0.012 mg/ml</w:t>
            </w:r>
          </w:p>
        </w:tc>
      </w:tr>
      <w:tr w:rsidR="00AC43DA" w14:paraId="65517BE3" w14:textId="77777777">
        <w:trPr>
          <w:trHeight w:val="275"/>
        </w:trPr>
        <w:tc>
          <w:tcPr>
            <w:tcW w:w="4600" w:type="dxa"/>
          </w:tcPr>
          <w:p w14:paraId="7A5FCCF6" w14:textId="77777777" w:rsidR="00AC43DA" w:rsidRDefault="00303B2C">
            <w:pPr>
              <w:pStyle w:val="TableParagraph"/>
              <w:spacing w:line="256" w:lineRule="exact"/>
              <w:ind w:left="113"/>
              <w:rPr>
                <w:sz w:val="24"/>
              </w:rPr>
            </w:pPr>
            <w:r>
              <w:rPr>
                <w:sz w:val="24"/>
              </w:rPr>
              <w:t>Ledipasvir</w:t>
            </w:r>
          </w:p>
        </w:tc>
        <w:tc>
          <w:tcPr>
            <w:tcW w:w="2483" w:type="dxa"/>
          </w:tcPr>
          <w:p w14:paraId="4846F5D3" w14:textId="77777777" w:rsidR="00AC43DA" w:rsidRDefault="00303B2C">
            <w:pPr>
              <w:pStyle w:val="TableParagraph"/>
              <w:spacing w:line="256" w:lineRule="exact"/>
              <w:ind w:left="114"/>
              <w:rPr>
                <w:sz w:val="24"/>
              </w:rPr>
            </w:pPr>
            <w:r>
              <w:rPr>
                <w:sz w:val="24"/>
              </w:rPr>
              <w:t>0.018 mg/ml</w:t>
            </w:r>
          </w:p>
        </w:tc>
      </w:tr>
      <w:tr w:rsidR="00AC43DA" w14:paraId="6C13118D" w14:textId="77777777">
        <w:trPr>
          <w:trHeight w:val="275"/>
        </w:trPr>
        <w:tc>
          <w:tcPr>
            <w:tcW w:w="4600" w:type="dxa"/>
          </w:tcPr>
          <w:p w14:paraId="020AA450" w14:textId="77777777" w:rsidR="00AC43DA" w:rsidRDefault="00303B2C">
            <w:pPr>
              <w:pStyle w:val="TableParagraph"/>
              <w:spacing w:line="256" w:lineRule="exact"/>
              <w:ind w:left="113"/>
              <w:rPr>
                <w:sz w:val="24"/>
              </w:rPr>
            </w:pPr>
            <w:r>
              <w:rPr>
                <w:sz w:val="24"/>
              </w:rPr>
              <w:t>Ombitasvir</w:t>
            </w:r>
          </w:p>
        </w:tc>
        <w:tc>
          <w:tcPr>
            <w:tcW w:w="2483" w:type="dxa"/>
          </w:tcPr>
          <w:p w14:paraId="6D4E334D" w14:textId="77777777" w:rsidR="00AC43DA" w:rsidRDefault="00303B2C">
            <w:pPr>
              <w:pStyle w:val="TableParagraph"/>
              <w:spacing w:line="256" w:lineRule="exact"/>
              <w:ind w:left="114"/>
              <w:rPr>
                <w:sz w:val="24"/>
              </w:rPr>
            </w:pPr>
            <w:r>
              <w:rPr>
                <w:sz w:val="24"/>
              </w:rPr>
              <w:t>0.0025 mg/ml</w:t>
            </w:r>
          </w:p>
        </w:tc>
      </w:tr>
      <w:tr w:rsidR="00AC43DA" w:rsidRPr="00E15906" w14:paraId="20E3ABE7" w14:textId="77777777">
        <w:trPr>
          <w:trHeight w:val="278"/>
        </w:trPr>
        <w:tc>
          <w:tcPr>
            <w:tcW w:w="7083" w:type="dxa"/>
            <w:gridSpan w:val="2"/>
          </w:tcPr>
          <w:p w14:paraId="32953374" w14:textId="77777777" w:rsidR="00AC43DA" w:rsidRPr="001227B6" w:rsidRDefault="00303B2C">
            <w:pPr>
              <w:pStyle w:val="TableParagraph"/>
              <w:spacing w:line="258" w:lineRule="exact"/>
              <w:ind w:left="922" w:right="903"/>
              <w:jc w:val="center"/>
              <w:rPr>
                <w:sz w:val="24"/>
                <w:lang w:val="en-US"/>
              </w:rPr>
            </w:pPr>
            <w:r w:rsidRPr="001227B6">
              <w:rPr>
                <w:sz w:val="24"/>
                <w:lang w:val="en-US"/>
              </w:rPr>
              <w:t>Drugs prescribed for viral hepatitis D</w:t>
            </w:r>
          </w:p>
        </w:tc>
      </w:tr>
      <w:tr w:rsidR="00AC43DA" w14:paraId="6C04A40C" w14:textId="77777777">
        <w:trPr>
          <w:trHeight w:val="273"/>
        </w:trPr>
        <w:tc>
          <w:tcPr>
            <w:tcW w:w="4600" w:type="dxa"/>
          </w:tcPr>
          <w:p w14:paraId="594690B0" w14:textId="77777777" w:rsidR="00AC43DA" w:rsidRDefault="00303B2C">
            <w:pPr>
              <w:pStyle w:val="TableParagraph"/>
              <w:spacing w:line="253" w:lineRule="exact"/>
              <w:ind w:left="113"/>
              <w:rPr>
                <w:sz w:val="24"/>
              </w:rPr>
            </w:pPr>
            <w:r>
              <w:rPr>
                <w:sz w:val="24"/>
              </w:rPr>
              <w:t>Bulevirtide</w:t>
            </w:r>
          </w:p>
        </w:tc>
        <w:tc>
          <w:tcPr>
            <w:tcW w:w="2483" w:type="dxa"/>
          </w:tcPr>
          <w:p w14:paraId="03298CA1" w14:textId="77777777" w:rsidR="00AC43DA" w:rsidRDefault="00303B2C">
            <w:pPr>
              <w:pStyle w:val="TableParagraph"/>
              <w:spacing w:line="253" w:lineRule="exact"/>
              <w:ind w:left="114"/>
              <w:rPr>
                <w:sz w:val="24"/>
              </w:rPr>
            </w:pPr>
            <w:r>
              <w:rPr>
                <w:sz w:val="24"/>
              </w:rPr>
              <w:t>0.0004 mg/ml</w:t>
            </w:r>
          </w:p>
        </w:tc>
      </w:tr>
    </w:tbl>
    <w:p w14:paraId="09165CF9" w14:textId="77777777" w:rsidR="00AC43DA" w:rsidRDefault="00AC43DA">
      <w:pPr>
        <w:pStyle w:val="a3"/>
        <w:ind w:left="0" w:firstLine="0"/>
        <w:jc w:val="left"/>
        <w:rPr>
          <w:sz w:val="16"/>
        </w:rPr>
      </w:pPr>
    </w:p>
    <w:p w14:paraId="39F96332" w14:textId="77777777" w:rsidR="00AC43DA" w:rsidRPr="001227B6" w:rsidRDefault="00303B2C">
      <w:pPr>
        <w:pStyle w:val="a3"/>
        <w:spacing w:before="90" w:line="242" w:lineRule="auto"/>
        <w:ind w:right="358"/>
        <w:rPr>
          <w:lang w:val="en-US"/>
        </w:rPr>
      </w:pPr>
      <w:r w:rsidRPr="001227B6">
        <w:rPr>
          <w:lang w:val="en-US"/>
        </w:rPr>
        <w:t>Based on the results of the study, the following substances were classified as PCR inhibitors during the analysis:</w:t>
      </w:r>
    </w:p>
    <w:p w14:paraId="2F5F4B7C" w14:textId="77777777" w:rsidR="00AC43DA" w:rsidRPr="001227B6" w:rsidRDefault="00303B2C">
      <w:pPr>
        <w:pStyle w:val="a6"/>
        <w:numPr>
          <w:ilvl w:val="0"/>
          <w:numId w:val="6"/>
        </w:numPr>
        <w:tabs>
          <w:tab w:val="left" w:pos="1215"/>
        </w:tabs>
        <w:ind w:right="344" w:firstLine="564"/>
        <w:jc w:val="both"/>
        <w:rPr>
          <w:sz w:val="24"/>
          <w:lang w:val="en-US"/>
        </w:rPr>
      </w:pPr>
      <w:r w:rsidRPr="001227B6">
        <w:rPr>
          <w:sz w:val="24"/>
          <w:lang w:val="en-US"/>
        </w:rPr>
        <w:t>anticoagulants – heparin at a concentration of 0.15 IU/ml and sodium citrate at a concentration of 0.1 mM/ml. The use of heparin and sodium citrate as an anticoagulant when collecting peripheral blood is not allowed.</w:t>
      </w:r>
    </w:p>
    <w:p w14:paraId="75DF911C" w14:textId="77777777" w:rsidR="00AC43DA" w:rsidRPr="001227B6" w:rsidRDefault="00303B2C">
      <w:pPr>
        <w:pStyle w:val="a6"/>
        <w:numPr>
          <w:ilvl w:val="0"/>
          <w:numId w:val="6"/>
        </w:numPr>
        <w:tabs>
          <w:tab w:val="left" w:pos="1397"/>
        </w:tabs>
        <w:ind w:right="346" w:firstLine="708"/>
        <w:jc w:val="both"/>
        <w:rPr>
          <w:sz w:val="24"/>
          <w:lang w:val="en-US"/>
        </w:rPr>
      </w:pPr>
      <w:r w:rsidRPr="001227B6">
        <w:rPr>
          <w:sz w:val="24"/>
          <w:lang w:val="en-US"/>
        </w:rPr>
        <w:t>heparin at a concentration of 1 IU/ml, used for anticoagulant therapy. The presence of heparin in the blood of patients on anticoagulant therapy can lead to unreliable PCR results, so it is recommended to draw blood from such patients before the next administration of the drug.</w:t>
      </w:r>
    </w:p>
    <w:p w14:paraId="1CCEE0CD" w14:textId="77777777" w:rsidR="00AC43DA" w:rsidRPr="001227B6" w:rsidRDefault="00303B2C">
      <w:pPr>
        <w:pStyle w:val="1"/>
        <w:spacing w:before="3"/>
        <w:ind w:left="328" w:right="351" w:firstLine="564"/>
        <w:rPr>
          <w:lang w:val="en-US"/>
        </w:rPr>
      </w:pPr>
      <w:r w:rsidRPr="001227B6">
        <w:rPr>
          <w:lang w:val="en-US"/>
        </w:rPr>
        <w:t>Restrictions on the use of the analyzed material:</w:t>
      </w:r>
    </w:p>
    <w:p w14:paraId="4792D53D" w14:textId="77777777" w:rsidR="00AC43DA" w:rsidRPr="001227B6" w:rsidRDefault="00303B2C">
      <w:pPr>
        <w:pStyle w:val="a6"/>
        <w:numPr>
          <w:ilvl w:val="0"/>
          <w:numId w:val="5"/>
        </w:numPr>
        <w:tabs>
          <w:tab w:val="left" w:pos="1229"/>
        </w:tabs>
        <w:spacing w:line="237" w:lineRule="auto"/>
        <w:ind w:right="346" w:firstLine="708"/>
        <w:rPr>
          <w:sz w:val="24"/>
          <w:lang w:val="en-US"/>
        </w:rPr>
      </w:pPr>
      <w:r w:rsidRPr="001227B6">
        <w:rPr>
          <w:sz w:val="24"/>
          <w:lang w:val="en-US"/>
        </w:rPr>
        <w:t>the analyzed material cannot be used if storage and transportation conditions are violated (temperature, duration, repeated freezing-thawing);</w:t>
      </w:r>
    </w:p>
    <w:p w14:paraId="670B6AE9" w14:textId="77777777" w:rsidR="00AC43DA" w:rsidRPr="001227B6" w:rsidRDefault="00303B2C">
      <w:pPr>
        <w:pStyle w:val="a6"/>
        <w:numPr>
          <w:ilvl w:val="0"/>
          <w:numId w:val="5"/>
        </w:numPr>
        <w:tabs>
          <w:tab w:val="left" w:pos="1229"/>
        </w:tabs>
        <w:spacing w:before="2"/>
        <w:ind w:right="351" w:firstLine="708"/>
        <w:rPr>
          <w:sz w:val="24"/>
          <w:lang w:val="en-US"/>
        </w:rPr>
      </w:pPr>
      <w:r w:rsidRPr="001227B6">
        <w:rPr>
          <w:sz w:val="24"/>
          <w:lang w:val="en-US"/>
        </w:rPr>
        <w:t>Samples contaminated with foreign biological material must not be used.</w:t>
      </w:r>
    </w:p>
    <w:p w14:paraId="3C11601C" w14:textId="489E7DA6" w:rsidR="00AC43DA" w:rsidRPr="003D5103" w:rsidRDefault="00303B2C" w:rsidP="003D5103">
      <w:pPr>
        <w:pStyle w:val="a3"/>
        <w:spacing w:before="68"/>
        <w:ind w:firstLine="0"/>
        <w:jc w:val="left"/>
        <w:rPr>
          <w:lang w:val="en-US"/>
        </w:rPr>
      </w:pPr>
      <w:r w:rsidRPr="001227B6">
        <w:rPr>
          <w:lang w:val="en-US"/>
        </w:rPr>
        <w:t>the presence of heparin in the blood of patients on anticoagulant therapy can lead to unreliable PCR results, therefore, blood sampling from such patients is recommended before the next administration</w:t>
      </w:r>
      <w:r w:rsidR="003D5103">
        <w:rPr>
          <w:lang w:val="en-US"/>
        </w:rPr>
        <w:t xml:space="preserve"> </w:t>
      </w:r>
      <w:r w:rsidR="003D5103" w:rsidRPr="003D5103">
        <w:rPr>
          <w:lang w:val="en-US"/>
        </w:rPr>
        <w:t>drug.</w:t>
      </w:r>
    </w:p>
    <w:p w14:paraId="01A0E87E" w14:textId="25CD7081" w:rsidR="00AC43DA" w:rsidRPr="001227B6" w:rsidRDefault="003D5103">
      <w:pPr>
        <w:jc w:val="both"/>
        <w:rPr>
          <w:sz w:val="24"/>
          <w:lang w:val="en-US"/>
        </w:rPr>
        <w:sectPr w:rsidR="00AC43DA" w:rsidRPr="001227B6">
          <w:pgSz w:w="8400" w:h="11920"/>
          <w:pgMar w:top="460" w:right="240" w:bottom="640" w:left="380" w:header="0" w:footer="378" w:gutter="0"/>
          <w:cols w:space="720"/>
        </w:sectPr>
      </w:pPr>
      <w:r>
        <w:rPr>
          <w:sz w:val="24"/>
          <w:lang w:val="en-US"/>
        </w:rPr>
        <w:t xml:space="preserve"> </w:t>
      </w:r>
    </w:p>
    <w:p w14:paraId="51BBA15E" w14:textId="77777777" w:rsidR="00AC43DA" w:rsidRPr="003D5103" w:rsidRDefault="00AC43DA">
      <w:pPr>
        <w:pStyle w:val="a3"/>
        <w:spacing w:before="9"/>
        <w:ind w:left="0" w:firstLine="0"/>
        <w:jc w:val="left"/>
        <w:rPr>
          <w:sz w:val="23"/>
          <w:lang w:val="en-US"/>
        </w:rPr>
      </w:pPr>
    </w:p>
    <w:p w14:paraId="262A81A2" w14:textId="77777777" w:rsidR="00AC43DA" w:rsidRDefault="00303B2C">
      <w:pPr>
        <w:pStyle w:val="1"/>
        <w:numPr>
          <w:ilvl w:val="0"/>
          <w:numId w:val="10"/>
        </w:numPr>
        <w:tabs>
          <w:tab w:val="left" w:pos="1200"/>
        </w:tabs>
        <w:ind w:left="1199" w:hanging="243"/>
        <w:jc w:val="both"/>
      </w:pPr>
      <w:bookmarkStart w:id="11" w:name="_bookmark9"/>
      <w:bookmarkEnd w:id="11"/>
      <w:r>
        <w:t>Preparing test kit components</w:t>
      </w:r>
    </w:p>
    <w:p w14:paraId="47BBE3FD" w14:textId="77777777" w:rsidR="00AC43DA" w:rsidRPr="001227B6" w:rsidRDefault="00303B2C">
      <w:pPr>
        <w:pStyle w:val="a3"/>
        <w:spacing w:before="3"/>
        <w:ind w:right="347"/>
        <w:rPr>
          <w:lang w:val="en-US"/>
        </w:rPr>
      </w:pPr>
      <w:r w:rsidRPr="001227B6">
        <w:rPr>
          <w:lang w:val="en-US"/>
        </w:rPr>
        <w:t>Installation, installation, configuration, calibration of the medical device for commissioning is not required.</w:t>
      </w:r>
    </w:p>
    <w:p w14:paraId="0E264D56" w14:textId="7A6E53B7" w:rsidR="00AC43DA" w:rsidRPr="001227B6" w:rsidRDefault="00303B2C">
      <w:pPr>
        <w:pStyle w:val="a3"/>
        <w:ind w:right="346"/>
        <w:rPr>
          <w:lang w:val="en-US"/>
        </w:rPr>
      </w:pPr>
      <w:r w:rsidRPr="001227B6">
        <w:rPr>
          <w:b/>
          <w:lang w:val="en-US"/>
        </w:rPr>
        <w:t>ATTENTION!</w:t>
      </w:r>
      <w:r w:rsidRPr="001227B6">
        <w:rPr>
          <w:lang w:val="en-US"/>
        </w:rPr>
        <w:t xml:space="preserve">When working with </w:t>
      </w:r>
      <w:r w:rsidR="005D71E3">
        <w:rPr>
          <w:lang w:val="en-US"/>
        </w:rPr>
        <w:t>NA</w:t>
      </w:r>
      <w:r w:rsidRPr="001227B6">
        <w:rPr>
          <w:lang w:val="en-US"/>
        </w:rPr>
        <w:t>, it is necessary to use only disposable sterile plastic consumables that are specially marked “DNase-free” and “RNase-free”. Be sure to use a separate aerosol barrier tip for each reaction component.</w:t>
      </w:r>
    </w:p>
    <w:p w14:paraId="6E718959" w14:textId="77777777" w:rsidR="00AC43DA" w:rsidRPr="001227B6" w:rsidRDefault="00303B2C">
      <w:pPr>
        <w:pStyle w:val="a3"/>
        <w:spacing w:before="72"/>
        <w:ind w:right="354"/>
        <w:rPr>
          <w:lang w:val="en-US"/>
        </w:rPr>
      </w:pPr>
      <w:r w:rsidRPr="001227B6">
        <w:rPr>
          <w:b/>
          <w:lang w:val="en-US"/>
        </w:rPr>
        <w:t>ATTENTION!</w:t>
      </w:r>
      <w:r w:rsidRPr="001227B6">
        <w:rPr>
          <w:lang w:val="en-US"/>
        </w:rPr>
        <w:t>The components of the reaction mixture should be mixed immediately before analysis.</w:t>
      </w:r>
    </w:p>
    <w:p w14:paraId="14AF0283" w14:textId="77777777" w:rsidR="00AC43DA" w:rsidRPr="001227B6" w:rsidRDefault="00303B2C">
      <w:pPr>
        <w:pStyle w:val="a3"/>
        <w:ind w:right="344"/>
        <w:rPr>
          <w:lang w:val="en-US"/>
        </w:rPr>
      </w:pPr>
      <w:r w:rsidRPr="001227B6">
        <w:rPr>
          <w:lang w:val="en-US"/>
        </w:rPr>
        <w:t>Before preparing reaction mixtures, it is necessary to wet clean the PCR box, as well as the equipment and materials located in it, using disinfectants suitable for use in PCR laboratories, and turn on the UV lamp for 20–30 minutes.</w:t>
      </w:r>
    </w:p>
    <w:p w14:paraId="190013B7" w14:textId="7436AD0C" w:rsidR="00AC43DA" w:rsidRPr="001227B6" w:rsidRDefault="00303B2C">
      <w:pPr>
        <w:pStyle w:val="a6"/>
        <w:numPr>
          <w:ilvl w:val="0"/>
          <w:numId w:val="4"/>
        </w:numPr>
        <w:tabs>
          <w:tab w:val="left" w:pos="1145"/>
        </w:tabs>
        <w:spacing w:before="1"/>
        <w:ind w:right="346" w:firstLine="564"/>
        <w:rPr>
          <w:sz w:val="24"/>
          <w:lang w:val="en-US"/>
        </w:rPr>
      </w:pPr>
      <w:r w:rsidRPr="001227B6">
        <w:rPr>
          <w:sz w:val="24"/>
          <w:lang w:val="en-US"/>
        </w:rPr>
        <w:t xml:space="preserve">Thoroughly mix the contents of the tubes with the NA isolated for analysis, PCR buffer, a mixture of oligonucleotides, </w:t>
      </w:r>
      <w:r w:rsidR="003D5103">
        <w:rPr>
          <w:sz w:val="24"/>
          <w:lang w:val="en-US"/>
        </w:rPr>
        <w:t>NCS</w:t>
      </w:r>
      <w:r w:rsidRPr="001227B6">
        <w:rPr>
          <w:sz w:val="24"/>
          <w:lang w:val="en-US"/>
        </w:rPr>
        <w:t xml:space="preserve"> and </w:t>
      </w:r>
      <w:r w:rsidR="002A5296">
        <w:rPr>
          <w:sz w:val="24"/>
          <w:lang w:val="en-US"/>
        </w:rPr>
        <w:t>PCS</w:t>
      </w:r>
      <w:r w:rsidRPr="001227B6">
        <w:rPr>
          <w:sz w:val="24"/>
          <w:lang w:val="en-US"/>
        </w:rPr>
        <w:t>, inverting each tube 10 times or vortexing at low speed for 3-5 seconds, then sediment the drops from the caps of the tubes by short centrifugation.</w:t>
      </w:r>
    </w:p>
    <w:p w14:paraId="330108D5" w14:textId="77777777" w:rsidR="00AC43DA" w:rsidRPr="001227B6" w:rsidRDefault="00303B2C">
      <w:pPr>
        <w:pStyle w:val="a6"/>
        <w:numPr>
          <w:ilvl w:val="0"/>
          <w:numId w:val="4"/>
        </w:numPr>
        <w:tabs>
          <w:tab w:val="left" w:pos="1183"/>
        </w:tabs>
        <w:ind w:right="344" w:firstLine="564"/>
        <w:rPr>
          <w:sz w:val="24"/>
          <w:lang w:val="en-US"/>
        </w:rPr>
      </w:pPr>
      <w:r w:rsidRPr="001227B6">
        <w:rPr>
          <w:sz w:val="24"/>
          <w:lang w:val="en-US"/>
        </w:rPr>
        <w:t>Select the required number of tubes (with optically transparent lids or walls - depending on the type of detection amplifier used) with a volume of 0.1 or 0.2 ml for PCR based on: the number of samples being studied3</w:t>
      </w:r>
    </w:p>
    <w:p w14:paraId="49BC9371" w14:textId="38057391" w:rsidR="00AC43DA" w:rsidRPr="001227B6" w:rsidRDefault="00303B2C">
      <w:pPr>
        <w:pStyle w:val="a3"/>
        <w:spacing w:before="3"/>
        <w:ind w:firstLine="0"/>
        <w:rPr>
          <w:lang w:val="en-US"/>
        </w:rPr>
      </w:pPr>
      <w:r w:rsidRPr="001227B6">
        <w:rPr>
          <w:lang w:val="en-US"/>
        </w:rPr>
        <w:t xml:space="preserve">+ 1 </w:t>
      </w:r>
      <w:r w:rsidR="002A5296">
        <w:rPr>
          <w:lang w:val="en-US"/>
        </w:rPr>
        <w:t>PCS</w:t>
      </w:r>
      <w:r w:rsidRPr="001227B6">
        <w:rPr>
          <w:lang w:val="en-US"/>
        </w:rPr>
        <w:t xml:space="preserve"> + 1 </w:t>
      </w:r>
      <w:r w:rsidR="002A5296">
        <w:rPr>
          <w:lang w:val="en-US"/>
        </w:rPr>
        <w:t>NCS</w:t>
      </w:r>
      <w:r w:rsidRPr="001227B6">
        <w:rPr>
          <w:lang w:val="en-US"/>
        </w:rPr>
        <w:t>, or take a PCR tablet.</w:t>
      </w:r>
    </w:p>
    <w:p w14:paraId="62713B80" w14:textId="77777777" w:rsidR="00AC43DA" w:rsidRPr="001227B6" w:rsidRDefault="00AC43DA">
      <w:pPr>
        <w:pStyle w:val="a3"/>
        <w:ind w:left="0" w:firstLine="0"/>
        <w:jc w:val="left"/>
        <w:rPr>
          <w:lang w:val="en-US"/>
        </w:rPr>
      </w:pPr>
    </w:p>
    <w:p w14:paraId="2D049B75" w14:textId="77777777" w:rsidR="00AC43DA" w:rsidRPr="001227B6" w:rsidRDefault="00303B2C">
      <w:pPr>
        <w:pStyle w:val="1"/>
        <w:spacing w:line="275" w:lineRule="exact"/>
        <w:ind w:left="2868"/>
        <w:jc w:val="left"/>
        <w:rPr>
          <w:lang w:val="en-US"/>
        </w:rPr>
      </w:pPr>
      <w:bookmarkStart w:id="12" w:name="_bookmark10"/>
      <w:bookmarkEnd w:id="12"/>
      <w:r w:rsidRPr="001227B6">
        <w:rPr>
          <w:lang w:val="en-US"/>
        </w:rPr>
        <w:t>10. Conducting analysis</w:t>
      </w:r>
    </w:p>
    <w:p w14:paraId="24CC97F2" w14:textId="77777777" w:rsidR="00AC43DA" w:rsidRPr="001227B6" w:rsidRDefault="00303B2C">
      <w:pPr>
        <w:pStyle w:val="a3"/>
        <w:spacing w:line="275" w:lineRule="exact"/>
        <w:ind w:left="894" w:firstLine="0"/>
        <w:jc w:val="left"/>
        <w:rPr>
          <w:lang w:val="en-US"/>
        </w:rPr>
      </w:pPr>
      <w:r w:rsidRPr="001227B6">
        <w:rPr>
          <w:lang w:val="en-US"/>
        </w:rPr>
        <w:t>PCR research consists of the following stages:</w:t>
      </w:r>
    </w:p>
    <w:p w14:paraId="57EDDA7B" w14:textId="77777777" w:rsidR="00AC43DA" w:rsidRDefault="00303B2C">
      <w:pPr>
        <w:pStyle w:val="a6"/>
        <w:numPr>
          <w:ilvl w:val="0"/>
          <w:numId w:val="3"/>
        </w:numPr>
        <w:tabs>
          <w:tab w:val="left" w:pos="1181"/>
        </w:tabs>
        <w:spacing w:before="3"/>
        <w:ind w:hanging="289"/>
        <w:rPr>
          <w:sz w:val="24"/>
        </w:rPr>
      </w:pPr>
      <w:r>
        <w:rPr>
          <w:sz w:val="24"/>
        </w:rPr>
        <w:t>RT-PCR preparation;</w:t>
      </w:r>
    </w:p>
    <w:p w14:paraId="5AE38A08" w14:textId="77777777" w:rsidR="00AC43DA" w:rsidRPr="001227B6" w:rsidRDefault="00303B2C">
      <w:pPr>
        <w:pStyle w:val="a6"/>
        <w:numPr>
          <w:ilvl w:val="0"/>
          <w:numId w:val="3"/>
        </w:numPr>
        <w:tabs>
          <w:tab w:val="left" w:pos="1181"/>
        </w:tabs>
        <w:ind w:left="328" w:right="344" w:firstLine="564"/>
        <w:rPr>
          <w:sz w:val="24"/>
          <w:lang w:val="en-US"/>
        </w:rPr>
      </w:pPr>
      <w:r w:rsidRPr="001227B6">
        <w:rPr>
          <w:sz w:val="24"/>
          <w:lang w:val="en-US"/>
        </w:rPr>
        <w:t>Reverse transcription of RNA and PCR amplification of DNA with hybridization-fluorescence detection in real time;</w:t>
      </w:r>
    </w:p>
    <w:p w14:paraId="66333D94" w14:textId="77777777" w:rsidR="00AC43DA" w:rsidRDefault="00303B2C">
      <w:pPr>
        <w:pStyle w:val="a6"/>
        <w:numPr>
          <w:ilvl w:val="0"/>
          <w:numId w:val="3"/>
        </w:numPr>
        <w:tabs>
          <w:tab w:val="left" w:pos="1181"/>
        </w:tabs>
        <w:ind w:hanging="289"/>
        <w:rPr>
          <w:sz w:val="24"/>
        </w:rPr>
      </w:pPr>
      <w:r>
        <w:rPr>
          <w:sz w:val="24"/>
        </w:rPr>
        <w:t>Interpretation of results.</w:t>
      </w:r>
    </w:p>
    <w:p w14:paraId="56CE4D73" w14:textId="77777777" w:rsidR="00AC43DA" w:rsidRDefault="00AC43DA">
      <w:pPr>
        <w:pStyle w:val="a3"/>
        <w:ind w:left="0" w:firstLine="0"/>
        <w:jc w:val="left"/>
        <w:rPr>
          <w:sz w:val="20"/>
        </w:rPr>
      </w:pPr>
    </w:p>
    <w:p w14:paraId="437E2A31" w14:textId="77777777" w:rsidR="00AC43DA" w:rsidRDefault="00FC0F55">
      <w:pPr>
        <w:pStyle w:val="a3"/>
        <w:spacing w:before="9"/>
        <w:ind w:left="0" w:firstLine="0"/>
        <w:jc w:val="left"/>
        <w:rPr>
          <w:sz w:val="16"/>
        </w:rPr>
      </w:pPr>
      <w:r>
        <w:pict w14:anchorId="6E3830C0">
          <v:rect id="_x0000_s2050" style="position:absolute;margin-left:24pt;margin-top:11.6pt;width:144.05pt;height:.6pt;z-index:-251656192;mso-wrap-distance-left:0;mso-wrap-distance-right:0;mso-position-horizontal-relative:page" fillcolor="black" stroked="f">
            <w10:wrap type="topAndBottom" anchorx="page"/>
          </v:rect>
        </w:pict>
      </w:r>
    </w:p>
    <w:p w14:paraId="5A25657A" w14:textId="77777777" w:rsidR="00AC43DA" w:rsidRPr="001227B6" w:rsidRDefault="00303B2C">
      <w:pPr>
        <w:spacing w:before="67"/>
        <w:ind w:left="100" w:right="774"/>
        <w:rPr>
          <w:sz w:val="20"/>
          <w:lang w:val="en-US"/>
        </w:rPr>
      </w:pPr>
      <w:r w:rsidRPr="001227B6">
        <w:rPr>
          <w:sz w:val="20"/>
          <w:vertAlign w:val="superscript"/>
          <w:lang w:val="en-US"/>
        </w:rPr>
        <w:t>3</w:t>
      </w:r>
      <w:r w:rsidRPr="001227B6">
        <w:rPr>
          <w:sz w:val="20"/>
          <w:lang w:val="en-US"/>
        </w:rPr>
        <w:t>To improve accuracy, it is recommended that each sample be analyzed in duplicate.</w:t>
      </w:r>
    </w:p>
    <w:p w14:paraId="67B2E4B1" w14:textId="77777777" w:rsidR="00AC43DA" w:rsidRPr="001227B6" w:rsidRDefault="00AC43DA">
      <w:pPr>
        <w:rPr>
          <w:sz w:val="20"/>
          <w:lang w:val="en-US"/>
        </w:rPr>
        <w:sectPr w:rsidR="00AC43DA" w:rsidRPr="001227B6">
          <w:pgSz w:w="8400" w:h="11920"/>
          <w:pgMar w:top="400" w:right="240" w:bottom="560" w:left="380" w:header="0" w:footer="378" w:gutter="0"/>
          <w:cols w:space="720"/>
        </w:sectPr>
      </w:pPr>
    </w:p>
    <w:p w14:paraId="54FC3F4E" w14:textId="77777777" w:rsidR="00AC43DA" w:rsidRPr="001227B6" w:rsidRDefault="00303B2C">
      <w:pPr>
        <w:pStyle w:val="1"/>
        <w:spacing w:before="63"/>
        <w:jc w:val="left"/>
        <w:rPr>
          <w:lang w:val="en-US"/>
        </w:rPr>
      </w:pPr>
      <w:r w:rsidRPr="001227B6">
        <w:rPr>
          <w:lang w:val="en-US"/>
        </w:rPr>
        <w:lastRenderedPageBreak/>
        <w:t>A) Preparation of RT-PCR</w:t>
      </w:r>
    </w:p>
    <w:p w14:paraId="6C15677A" w14:textId="77777777" w:rsidR="00AC43DA" w:rsidRPr="001227B6" w:rsidRDefault="00303B2C">
      <w:pPr>
        <w:pStyle w:val="a3"/>
        <w:spacing w:before="2"/>
        <w:ind w:right="480"/>
        <w:jc w:val="left"/>
        <w:rPr>
          <w:lang w:val="en-US"/>
        </w:rPr>
      </w:pPr>
      <w:r w:rsidRPr="001227B6">
        <w:rPr>
          <w:lang w:val="en-US"/>
        </w:rPr>
        <w:t>(produced in the pre-PCR ZONE room for unpacking reagents and preparing for PCR amplification)</w:t>
      </w:r>
    </w:p>
    <w:p w14:paraId="0C2FB2DA" w14:textId="77777777" w:rsidR="00AC43DA" w:rsidRPr="001227B6" w:rsidRDefault="00303B2C">
      <w:pPr>
        <w:pStyle w:val="1"/>
        <w:spacing w:line="274" w:lineRule="exact"/>
        <w:jc w:val="left"/>
        <w:rPr>
          <w:lang w:val="en-US"/>
        </w:rPr>
      </w:pPr>
      <w:r w:rsidRPr="001227B6">
        <w:rPr>
          <w:lang w:val="en-US"/>
        </w:rPr>
        <w:t>The total reaction volume is 25 µl.</w:t>
      </w:r>
    </w:p>
    <w:p w14:paraId="1CED0EAB" w14:textId="77777777" w:rsidR="00AC43DA" w:rsidRPr="001227B6" w:rsidRDefault="00303B2C">
      <w:pPr>
        <w:ind w:left="894"/>
        <w:rPr>
          <w:sz w:val="24"/>
          <w:lang w:val="en-US"/>
        </w:rPr>
      </w:pPr>
      <w:r w:rsidRPr="001227B6">
        <w:rPr>
          <w:b/>
          <w:sz w:val="24"/>
          <w:lang w:val="en-US"/>
        </w:rPr>
        <w:t>ATTENTION!</w:t>
      </w:r>
      <w:r w:rsidRPr="001227B6">
        <w:rPr>
          <w:sz w:val="24"/>
          <w:lang w:val="en-US"/>
        </w:rPr>
        <w:t>It is forbidden to change the reaction volume.</w:t>
      </w:r>
    </w:p>
    <w:p w14:paraId="4D5875CF" w14:textId="77777777" w:rsidR="00AC43DA" w:rsidRPr="001227B6" w:rsidRDefault="00303B2C">
      <w:pPr>
        <w:pStyle w:val="a3"/>
        <w:tabs>
          <w:tab w:val="left" w:pos="1525"/>
          <w:tab w:val="left" w:pos="3292"/>
          <w:tab w:val="left" w:pos="4865"/>
          <w:tab w:val="left" w:pos="5701"/>
          <w:tab w:val="left" w:pos="6173"/>
          <w:tab w:val="left" w:pos="6531"/>
        </w:tabs>
        <w:spacing w:before="3"/>
        <w:ind w:right="359"/>
        <w:jc w:val="left"/>
        <w:rPr>
          <w:lang w:val="en-US"/>
        </w:rPr>
      </w:pPr>
      <w:r w:rsidRPr="001227B6">
        <w:rPr>
          <w:lang w:val="en-US"/>
        </w:rPr>
        <w:t>For</w:t>
      </w:r>
      <w:r w:rsidRPr="001227B6">
        <w:rPr>
          <w:lang w:val="en-US"/>
        </w:rPr>
        <w:tab/>
        <w:t>preparations</w:t>
      </w:r>
      <w:r w:rsidRPr="001227B6">
        <w:rPr>
          <w:lang w:val="en-US"/>
        </w:rPr>
        <w:tab/>
        <w:t>reactionary</w:t>
      </w:r>
      <w:r w:rsidRPr="001227B6">
        <w:rPr>
          <w:lang w:val="en-US"/>
        </w:rPr>
        <w:tab/>
        <w:t>mixtures</w:t>
      </w:r>
      <w:r w:rsidRPr="001227B6">
        <w:rPr>
          <w:lang w:val="en-US"/>
        </w:rPr>
        <w:tab/>
        <w:t>on</w:t>
      </w:r>
      <w:r w:rsidRPr="001227B6">
        <w:rPr>
          <w:lang w:val="en-US"/>
        </w:rPr>
        <w:tab/>
        <w:t>1</w:t>
      </w:r>
      <w:r w:rsidRPr="001227B6">
        <w:rPr>
          <w:lang w:val="en-US"/>
        </w:rPr>
        <w:tab/>
      </w:r>
      <w:r w:rsidRPr="001227B6">
        <w:rPr>
          <w:spacing w:val="-1"/>
          <w:lang w:val="en-US"/>
        </w:rPr>
        <w:t>reaction</w:t>
      </w:r>
      <w:r w:rsidRPr="001227B6">
        <w:rPr>
          <w:lang w:val="en-US"/>
        </w:rPr>
        <w:t>necessary:</w:t>
      </w:r>
    </w:p>
    <w:p w14:paraId="55AC6F2C" w14:textId="77777777" w:rsidR="00AC43DA" w:rsidRDefault="00303B2C">
      <w:pPr>
        <w:pStyle w:val="a6"/>
        <w:numPr>
          <w:ilvl w:val="1"/>
          <w:numId w:val="3"/>
        </w:numPr>
        <w:tabs>
          <w:tab w:val="left" w:pos="1399"/>
        </w:tabs>
        <w:rPr>
          <w:sz w:val="24"/>
        </w:rPr>
      </w:pPr>
      <w:r>
        <w:rPr>
          <w:sz w:val="24"/>
        </w:rPr>
        <w:t>PCR buffer – 5 µl,</w:t>
      </w:r>
    </w:p>
    <w:p w14:paraId="5331D72E" w14:textId="77777777" w:rsidR="00AC43DA" w:rsidRDefault="00303B2C">
      <w:pPr>
        <w:pStyle w:val="a6"/>
        <w:numPr>
          <w:ilvl w:val="1"/>
          <w:numId w:val="3"/>
        </w:numPr>
        <w:tabs>
          <w:tab w:val="left" w:pos="1399"/>
        </w:tabs>
        <w:rPr>
          <w:sz w:val="24"/>
        </w:rPr>
      </w:pPr>
      <w:r>
        <w:rPr>
          <w:sz w:val="24"/>
        </w:rPr>
        <w:t>Mixture of oligonucleotides – 5 µl,</w:t>
      </w:r>
    </w:p>
    <w:p w14:paraId="3A18E4A4" w14:textId="6912DA66" w:rsidR="00AC43DA" w:rsidRPr="001227B6" w:rsidRDefault="00303B2C">
      <w:pPr>
        <w:pStyle w:val="a6"/>
        <w:numPr>
          <w:ilvl w:val="1"/>
          <w:numId w:val="3"/>
        </w:numPr>
        <w:tabs>
          <w:tab w:val="left" w:pos="1399"/>
        </w:tabs>
        <w:rPr>
          <w:sz w:val="24"/>
          <w:lang w:val="en-US"/>
        </w:rPr>
      </w:pPr>
      <w:r w:rsidRPr="001227B6">
        <w:rPr>
          <w:sz w:val="24"/>
          <w:lang w:val="en-US"/>
        </w:rPr>
        <w:t xml:space="preserve">Sample (test sample </w:t>
      </w:r>
      <w:r w:rsidR="005D71E3">
        <w:rPr>
          <w:sz w:val="24"/>
          <w:lang w:val="en-US"/>
        </w:rPr>
        <w:t>NA</w:t>
      </w:r>
      <w:r w:rsidRPr="001227B6">
        <w:rPr>
          <w:sz w:val="24"/>
          <w:lang w:val="en-US"/>
        </w:rPr>
        <w:t xml:space="preserve">, </w:t>
      </w:r>
      <w:r w:rsidR="002A5296">
        <w:rPr>
          <w:sz w:val="24"/>
          <w:lang w:val="en-US"/>
        </w:rPr>
        <w:t>PCS</w:t>
      </w:r>
      <w:r w:rsidRPr="001227B6">
        <w:rPr>
          <w:sz w:val="24"/>
          <w:lang w:val="en-US"/>
        </w:rPr>
        <w:t xml:space="preserve">, </w:t>
      </w:r>
      <w:r w:rsidR="002A5296">
        <w:rPr>
          <w:sz w:val="24"/>
          <w:lang w:val="en-US"/>
        </w:rPr>
        <w:t>NCS</w:t>
      </w:r>
      <w:r w:rsidRPr="001227B6">
        <w:rPr>
          <w:sz w:val="24"/>
          <w:lang w:val="en-US"/>
        </w:rPr>
        <w:t>) – 15 µl.</w:t>
      </w:r>
    </w:p>
    <w:p w14:paraId="680834C1" w14:textId="77777777" w:rsidR="00AC43DA" w:rsidRPr="001227B6" w:rsidRDefault="00303B2C">
      <w:pPr>
        <w:pStyle w:val="a3"/>
        <w:ind w:right="684"/>
        <w:jc w:val="left"/>
        <w:rPr>
          <w:lang w:val="en-US"/>
        </w:rPr>
      </w:pPr>
      <w:r w:rsidRPr="001227B6">
        <w:rPr>
          <w:lang w:val="en-US"/>
        </w:rPr>
        <w:t>Reaction tubes must be prepared in the following order:</w:t>
      </w:r>
    </w:p>
    <w:p w14:paraId="1DDCAD67" w14:textId="77777777" w:rsidR="00AC43DA" w:rsidRPr="001227B6" w:rsidRDefault="00303B2C">
      <w:pPr>
        <w:pStyle w:val="a6"/>
        <w:numPr>
          <w:ilvl w:val="0"/>
          <w:numId w:val="2"/>
        </w:numPr>
        <w:tabs>
          <w:tab w:val="left" w:pos="1181"/>
        </w:tabs>
        <w:ind w:right="374" w:firstLine="564"/>
        <w:rPr>
          <w:sz w:val="24"/>
          <w:lang w:val="en-US"/>
        </w:rPr>
      </w:pPr>
      <w:r w:rsidRPr="001227B6">
        <w:rPr>
          <w:sz w:val="24"/>
          <w:lang w:val="en-US"/>
        </w:rPr>
        <w:t>Label 0.1 or 0.2 ml tubes or PCR plate.</w:t>
      </w:r>
    </w:p>
    <w:p w14:paraId="35F5015D" w14:textId="77777777" w:rsidR="00AC43DA" w:rsidRPr="001227B6" w:rsidRDefault="00303B2C">
      <w:pPr>
        <w:pStyle w:val="a6"/>
        <w:numPr>
          <w:ilvl w:val="0"/>
          <w:numId w:val="2"/>
        </w:numPr>
        <w:tabs>
          <w:tab w:val="left" w:pos="1181"/>
        </w:tabs>
        <w:spacing w:before="1"/>
        <w:ind w:left="1180" w:hanging="289"/>
        <w:rPr>
          <w:sz w:val="24"/>
          <w:lang w:val="en-US"/>
        </w:rPr>
      </w:pPr>
      <w:r w:rsidRPr="001227B6">
        <w:rPr>
          <w:sz w:val="24"/>
          <w:lang w:val="en-US"/>
        </w:rPr>
        <w:t>In a separate disposable sterile tube type</w:t>
      </w:r>
    </w:p>
    <w:p w14:paraId="1342286D" w14:textId="77777777" w:rsidR="00AC43DA" w:rsidRPr="001227B6" w:rsidRDefault="00303B2C">
      <w:pPr>
        <w:pStyle w:val="a3"/>
        <w:ind w:right="347" w:firstLine="0"/>
        <w:rPr>
          <w:lang w:val="en-US"/>
        </w:rPr>
      </w:pPr>
      <w:r w:rsidRPr="001227B6">
        <w:rPr>
          <w:lang w:val="en-US"/>
        </w:rPr>
        <w:t xml:space="preserve">“Eppendorf” with a volume of 1.5 or 2.0 ml, prepare a reaction mixture: (n+3)x5 </w:t>
      </w:r>
      <w:r>
        <w:t>μ</w:t>
      </w:r>
      <w:r w:rsidRPr="001227B6">
        <w:rPr>
          <w:lang w:val="en-US"/>
        </w:rPr>
        <w:t xml:space="preserve">l of PCR buffer and (n+3)x5 </w:t>
      </w:r>
      <w:r>
        <w:t>μ</w:t>
      </w:r>
      <w:r w:rsidRPr="001227B6">
        <w:rPr>
          <w:lang w:val="en-US"/>
        </w:rPr>
        <w:t>l of a mixture of oligonucleotides, where n is the number of samples being tested.</w:t>
      </w:r>
    </w:p>
    <w:p w14:paraId="6C1596B1" w14:textId="77777777" w:rsidR="00AC43DA" w:rsidRPr="001227B6" w:rsidRDefault="00303B2C">
      <w:pPr>
        <w:pStyle w:val="a6"/>
        <w:numPr>
          <w:ilvl w:val="0"/>
          <w:numId w:val="2"/>
        </w:numPr>
        <w:tabs>
          <w:tab w:val="left" w:pos="1181"/>
        </w:tabs>
        <w:ind w:right="348" w:firstLine="564"/>
        <w:rPr>
          <w:sz w:val="24"/>
          <w:lang w:val="en-US"/>
        </w:rPr>
      </w:pPr>
      <w:r w:rsidRPr="001227B6">
        <w:rPr>
          <w:sz w:val="24"/>
          <w:lang w:val="en-US"/>
        </w:rPr>
        <w:t>Add 10 µl of the prepared reaction mixture to each PCR tube.</w:t>
      </w:r>
    </w:p>
    <w:p w14:paraId="1342EDE1" w14:textId="332F9B7C" w:rsidR="00AC43DA" w:rsidRPr="001227B6" w:rsidRDefault="00303B2C">
      <w:pPr>
        <w:pStyle w:val="a6"/>
        <w:numPr>
          <w:ilvl w:val="0"/>
          <w:numId w:val="2"/>
        </w:numPr>
        <w:tabs>
          <w:tab w:val="left" w:pos="1181"/>
        </w:tabs>
        <w:ind w:right="351" w:firstLine="564"/>
        <w:rPr>
          <w:sz w:val="24"/>
          <w:lang w:val="en-US"/>
        </w:rPr>
      </w:pPr>
      <w:r w:rsidRPr="001227B6">
        <w:rPr>
          <w:sz w:val="24"/>
          <w:lang w:val="en-US"/>
        </w:rPr>
        <w:t xml:space="preserve">Add 15 </w:t>
      </w:r>
      <w:r>
        <w:rPr>
          <w:sz w:val="24"/>
        </w:rPr>
        <w:t>μ</w:t>
      </w:r>
      <w:r w:rsidRPr="001227B6">
        <w:rPr>
          <w:sz w:val="24"/>
          <w:lang w:val="en-US"/>
        </w:rPr>
        <w:t xml:space="preserve">l of isolated NA into the appropriate test tubes for the samples being studied. The </w:t>
      </w:r>
      <w:r w:rsidR="005D71E3">
        <w:rPr>
          <w:sz w:val="24"/>
          <w:lang w:val="en-US"/>
        </w:rPr>
        <w:t>NA</w:t>
      </w:r>
      <w:r w:rsidRPr="001227B6">
        <w:rPr>
          <w:sz w:val="24"/>
          <w:lang w:val="en-US"/>
        </w:rPr>
        <w:t xml:space="preserve"> preparation is not added to the test tubes for </w:t>
      </w:r>
      <w:r w:rsidR="002A5296">
        <w:rPr>
          <w:sz w:val="24"/>
          <w:lang w:val="en-US"/>
        </w:rPr>
        <w:t>PCS</w:t>
      </w:r>
      <w:r w:rsidRPr="001227B6">
        <w:rPr>
          <w:sz w:val="24"/>
          <w:lang w:val="en-US"/>
        </w:rPr>
        <w:t xml:space="preserve"> and </w:t>
      </w:r>
      <w:r w:rsidR="002A5296">
        <w:rPr>
          <w:sz w:val="24"/>
          <w:lang w:val="en-US"/>
        </w:rPr>
        <w:t>NCS</w:t>
      </w:r>
      <w:r w:rsidRPr="001227B6">
        <w:rPr>
          <w:sz w:val="24"/>
          <w:lang w:val="en-US"/>
        </w:rPr>
        <w:t>.</w:t>
      </w:r>
    </w:p>
    <w:p w14:paraId="09AC81AC" w14:textId="08B30B04" w:rsidR="00AC43DA" w:rsidRPr="001227B6" w:rsidRDefault="00303B2C">
      <w:pPr>
        <w:pStyle w:val="a6"/>
        <w:numPr>
          <w:ilvl w:val="0"/>
          <w:numId w:val="2"/>
        </w:numPr>
        <w:tabs>
          <w:tab w:val="left" w:pos="1181"/>
        </w:tabs>
        <w:ind w:left="1180" w:hanging="289"/>
        <w:rPr>
          <w:sz w:val="24"/>
          <w:lang w:val="en-US"/>
        </w:rPr>
      </w:pPr>
      <w:r w:rsidRPr="001227B6">
        <w:rPr>
          <w:sz w:val="24"/>
          <w:lang w:val="en-US"/>
        </w:rPr>
        <w:t xml:space="preserve">Add 15 µl of </w:t>
      </w:r>
      <w:r w:rsidR="002A5296">
        <w:rPr>
          <w:sz w:val="24"/>
          <w:lang w:val="en-US"/>
        </w:rPr>
        <w:t>PCS</w:t>
      </w:r>
      <w:r w:rsidRPr="001227B6">
        <w:rPr>
          <w:sz w:val="24"/>
          <w:lang w:val="en-US"/>
        </w:rPr>
        <w:t xml:space="preserve"> into the appropriate tube.</w:t>
      </w:r>
    </w:p>
    <w:p w14:paraId="39F7480D" w14:textId="2B5CFD93" w:rsidR="00AC43DA" w:rsidRPr="001227B6" w:rsidRDefault="00303B2C">
      <w:pPr>
        <w:pStyle w:val="a6"/>
        <w:numPr>
          <w:ilvl w:val="0"/>
          <w:numId w:val="2"/>
        </w:numPr>
        <w:tabs>
          <w:tab w:val="left" w:pos="1181"/>
        </w:tabs>
        <w:ind w:right="343" w:firstLine="564"/>
        <w:rPr>
          <w:sz w:val="24"/>
          <w:lang w:val="en-US"/>
        </w:rPr>
      </w:pPr>
      <w:r w:rsidRPr="001227B6">
        <w:rPr>
          <w:sz w:val="24"/>
          <w:lang w:val="en-US"/>
        </w:rPr>
        <w:t xml:space="preserve">Add 15 </w:t>
      </w:r>
      <w:r>
        <w:rPr>
          <w:sz w:val="24"/>
        </w:rPr>
        <w:t>μ</w:t>
      </w:r>
      <w:r w:rsidRPr="001227B6">
        <w:rPr>
          <w:sz w:val="24"/>
          <w:lang w:val="en-US"/>
        </w:rPr>
        <w:t xml:space="preserve">l of </w:t>
      </w:r>
      <w:r w:rsidR="003D5103">
        <w:rPr>
          <w:sz w:val="24"/>
          <w:lang w:val="en-US"/>
        </w:rPr>
        <w:t>NCS</w:t>
      </w:r>
      <w:r w:rsidRPr="001227B6">
        <w:rPr>
          <w:sz w:val="24"/>
          <w:lang w:val="en-US"/>
        </w:rPr>
        <w:t>, which has passed the stage of NC isolation, into the appropriate test tube.</w:t>
      </w:r>
    </w:p>
    <w:p w14:paraId="5E93E6C6" w14:textId="77777777" w:rsidR="00AC43DA" w:rsidRPr="001227B6" w:rsidRDefault="00303B2C">
      <w:pPr>
        <w:pStyle w:val="a6"/>
        <w:numPr>
          <w:ilvl w:val="0"/>
          <w:numId w:val="2"/>
        </w:numPr>
        <w:tabs>
          <w:tab w:val="left" w:pos="1181"/>
        </w:tabs>
        <w:spacing w:before="1"/>
        <w:ind w:right="355" w:firstLine="564"/>
        <w:rPr>
          <w:sz w:val="24"/>
          <w:lang w:val="en-US"/>
        </w:rPr>
      </w:pPr>
      <w:r w:rsidRPr="001227B6">
        <w:rPr>
          <w:sz w:val="24"/>
          <w:lang w:val="en-US"/>
        </w:rPr>
        <w:t>To remove droplets from the walls, centrifuge the tubes for 1–3 seconds in a microcentrifuge vortex.</w:t>
      </w:r>
    </w:p>
    <w:p w14:paraId="6B0921C7" w14:textId="77777777" w:rsidR="00AC43DA" w:rsidRPr="001227B6" w:rsidRDefault="00AC43DA">
      <w:pPr>
        <w:pStyle w:val="a3"/>
        <w:spacing w:before="4"/>
        <w:ind w:left="0" w:firstLine="0"/>
        <w:jc w:val="left"/>
        <w:rPr>
          <w:lang w:val="en-US"/>
        </w:rPr>
      </w:pPr>
    </w:p>
    <w:p w14:paraId="5861C60E" w14:textId="77777777" w:rsidR="00AC43DA" w:rsidRPr="001227B6" w:rsidRDefault="00303B2C">
      <w:pPr>
        <w:pStyle w:val="1"/>
        <w:spacing w:before="1"/>
        <w:ind w:left="328" w:right="347" w:firstLine="564"/>
        <w:rPr>
          <w:lang w:val="en-US"/>
        </w:rPr>
      </w:pPr>
      <w:r w:rsidRPr="001227B6">
        <w:rPr>
          <w:lang w:val="en-US"/>
        </w:rPr>
        <w:t>B) Reverse transcription of RNA and PCR amplification of DNA with hybridization-fluorescence detection in real time;</w:t>
      </w:r>
    </w:p>
    <w:p w14:paraId="39F7DD2E" w14:textId="77777777" w:rsidR="00AC43DA" w:rsidRPr="001227B6" w:rsidRDefault="00303B2C">
      <w:pPr>
        <w:pStyle w:val="a3"/>
        <w:ind w:right="347"/>
        <w:rPr>
          <w:lang w:val="en-US"/>
        </w:rPr>
      </w:pPr>
      <w:r w:rsidRPr="001227B6">
        <w:rPr>
          <w:lang w:val="en-US"/>
        </w:rPr>
        <w:t>(produced in the PCR ZONE - the room for PCR amplification)</w:t>
      </w:r>
    </w:p>
    <w:p w14:paraId="74ECFC3C" w14:textId="77777777" w:rsidR="00AC43DA" w:rsidRPr="001227B6" w:rsidRDefault="00303B2C">
      <w:pPr>
        <w:pStyle w:val="a6"/>
        <w:numPr>
          <w:ilvl w:val="0"/>
          <w:numId w:val="1"/>
        </w:numPr>
        <w:tabs>
          <w:tab w:val="left" w:pos="1181"/>
        </w:tabs>
        <w:ind w:right="350" w:firstLine="564"/>
        <w:rPr>
          <w:sz w:val="24"/>
          <w:lang w:val="en-US"/>
        </w:rPr>
      </w:pPr>
      <w:r w:rsidRPr="001227B6">
        <w:rPr>
          <w:sz w:val="24"/>
          <w:lang w:val="en-US"/>
        </w:rPr>
        <w:t>Place the tubes in the reaction module of the real-time PCR device. It is recommended to install the tubes in the center of the thermoblock to ensure uniform pressure on the tubes with the heating lid.</w:t>
      </w:r>
    </w:p>
    <w:p w14:paraId="4295716C" w14:textId="77777777" w:rsidR="00AC43DA" w:rsidRDefault="00303B2C">
      <w:pPr>
        <w:pStyle w:val="a6"/>
        <w:numPr>
          <w:ilvl w:val="0"/>
          <w:numId w:val="1"/>
        </w:numPr>
        <w:tabs>
          <w:tab w:val="left" w:pos="1181"/>
        </w:tabs>
        <w:ind w:left="1180" w:hanging="289"/>
        <w:rPr>
          <w:sz w:val="24"/>
        </w:rPr>
      </w:pPr>
      <w:r>
        <w:rPr>
          <w:sz w:val="24"/>
        </w:rPr>
        <w:t>Program the device to perform</w:t>
      </w:r>
    </w:p>
    <w:p w14:paraId="7A2D1E2A" w14:textId="77777777" w:rsidR="00AC43DA" w:rsidRDefault="00AC43DA">
      <w:pPr>
        <w:jc w:val="both"/>
        <w:rPr>
          <w:sz w:val="24"/>
        </w:rPr>
        <w:sectPr w:rsidR="00AC43DA">
          <w:pgSz w:w="8400" w:h="11920"/>
          <w:pgMar w:top="400" w:right="240" w:bottom="580" w:left="380" w:header="0" w:footer="378" w:gutter="0"/>
          <w:cols w:space="720"/>
        </w:sectPr>
      </w:pPr>
    </w:p>
    <w:p w14:paraId="2FEB1A9C" w14:textId="77777777" w:rsidR="00AC43DA" w:rsidRPr="001227B6" w:rsidRDefault="00303B2C">
      <w:pPr>
        <w:pStyle w:val="a3"/>
        <w:spacing w:before="68"/>
        <w:ind w:right="346" w:firstLine="0"/>
        <w:rPr>
          <w:lang w:val="en-US"/>
        </w:rPr>
      </w:pPr>
      <w:bookmarkStart w:id="13" w:name="_bookmark11"/>
      <w:bookmarkEnd w:id="13"/>
      <w:r w:rsidRPr="001227B6">
        <w:rPr>
          <w:lang w:val="en-US"/>
        </w:rPr>
        <w:lastRenderedPageBreak/>
        <w:t>appropriate RT-PCR program and fluorescent signal detection, following the instructions for the device used. The RT-PCR protocol is listed in Table 6.</w:t>
      </w:r>
    </w:p>
    <w:p w14:paraId="69689522" w14:textId="77777777" w:rsidR="00AC43DA" w:rsidRPr="001227B6" w:rsidRDefault="00303B2C">
      <w:pPr>
        <w:pStyle w:val="a3"/>
        <w:spacing w:before="72" w:after="8"/>
        <w:ind w:left="894" w:firstLine="0"/>
        <w:jc w:val="left"/>
        <w:rPr>
          <w:lang w:val="en-US"/>
        </w:rPr>
      </w:pPr>
      <w:r w:rsidRPr="001227B6">
        <w:rPr>
          <w:lang w:val="en-US"/>
        </w:rPr>
        <w:t>Table 6 – RT-PCR protocol</w:t>
      </w: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1453"/>
        <w:gridCol w:w="1107"/>
        <w:gridCol w:w="1566"/>
        <w:gridCol w:w="1112"/>
      </w:tblGrid>
      <w:tr w:rsidR="00AC43DA" w14:paraId="14C8D884" w14:textId="77777777">
        <w:trPr>
          <w:trHeight w:val="460"/>
        </w:trPr>
        <w:tc>
          <w:tcPr>
            <w:tcW w:w="886" w:type="dxa"/>
          </w:tcPr>
          <w:p w14:paraId="6C2E179C" w14:textId="77777777" w:rsidR="00AC43DA" w:rsidRDefault="00303B2C">
            <w:pPr>
              <w:pStyle w:val="TableParagraph"/>
              <w:spacing w:before="113"/>
              <w:ind w:left="94" w:right="74"/>
              <w:jc w:val="center"/>
              <w:rPr>
                <w:b/>
                <w:sz w:val="20"/>
              </w:rPr>
            </w:pPr>
            <w:r>
              <w:rPr>
                <w:b/>
                <w:sz w:val="20"/>
              </w:rPr>
              <w:t>Stage</w:t>
            </w:r>
          </w:p>
        </w:tc>
        <w:tc>
          <w:tcPr>
            <w:tcW w:w="1453" w:type="dxa"/>
          </w:tcPr>
          <w:p w14:paraId="3F4CA8D8" w14:textId="77777777" w:rsidR="00AC43DA" w:rsidRDefault="00303B2C">
            <w:pPr>
              <w:pStyle w:val="TableParagraph"/>
              <w:spacing w:line="218" w:lineRule="exact"/>
              <w:ind w:left="91" w:right="78"/>
              <w:jc w:val="center"/>
              <w:rPr>
                <w:b/>
                <w:sz w:val="20"/>
              </w:rPr>
            </w:pPr>
            <w:r>
              <w:rPr>
                <w:b/>
                <w:sz w:val="20"/>
              </w:rPr>
              <w:t>Temperature,</w:t>
            </w:r>
          </w:p>
          <w:p w14:paraId="7AF632F8" w14:textId="77777777" w:rsidR="00AC43DA" w:rsidRDefault="00303B2C">
            <w:pPr>
              <w:pStyle w:val="TableParagraph"/>
              <w:spacing w:line="222" w:lineRule="exact"/>
              <w:ind w:left="86" w:right="78"/>
              <w:jc w:val="center"/>
              <w:rPr>
                <w:b/>
                <w:sz w:val="20"/>
              </w:rPr>
            </w:pPr>
            <w:r>
              <w:rPr>
                <w:b/>
                <w:sz w:val="20"/>
              </w:rPr>
              <w:t>°C</w:t>
            </w:r>
          </w:p>
        </w:tc>
        <w:tc>
          <w:tcPr>
            <w:tcW w:w="1107" w:type="dxa"/>
          </w:tcPr>
          <w:p w14:paraId="520E3F64" w14:textId="77777777" w:rsidR="00AC43DA" w:rsidRDefault="00303B2C">
            <w:pPr>
              <w:pStyle w:val="TableParagraph"/>
              <w:spacing w:line="230" w:lineRule="exact"/>
              <w:ind w:left="140" w:right="119" w:firstLine="98"/>
              <w:rPr>
                <w:b/>
                <w:sz w:val="20"/>
              </w:rPr>
            </w:pPr>
            <w:r>
              <w:rPr>
                <w:b/>
                <w:sz w:val="20"/>
              </w:rPr>
              <w:t>Time, min.:sec.</w:t>
            </w:r>
          </w:p>
        </w:tc>
        <w:tc>
          <w:tcPr>
            <w:tcW w:w="1566" w:type="dxa"/>
          </w:tcPr>
          <w:p w14:paraId="07A2BD5E" w14:textId="77777777" w:rsidR="00AC43DA" w:rsidRDefault="00303B2C">
            <w:pPr>
              <w:pStyle w:val="TableParagraph"/>
              <w:spacing w:line="230" w:lineRule="exact"/>
              <w:ind w:left="361" w:right="345" w:firstLine="55"/>
              <w:rPr>
                <w:b/>
                <w:sz w:val="20"/>
              </w:rPr>
            </w:pPr>
            <w:r>
              <w:rPr>
                <w:b/>
                <w:sz w:val="20"/>
              </w:rPr>
              <w:t>Detection channels</w:t>
            </w:r>
          </w:p>
        </w:tc>
        <w:tc>
          <w:tcPr>
            <w:tcW w:w="1112" w:type="dxa"/>
          </w:tcPr>
          <w:p w14:paraId="0947710E" w14:textId="77777777" w:rsidR="00AC43DA" w:rsidRDefault="00303B2C">
            <w:pPr>
              <w:pStyle w:val="TableParagraph"/>
              <w:spacing w:line="230" w:lineRule="exact"/>
              <w:ind w:left="218" w:right="198" w:firstLine="81"/>
              <w:rPr>
                <w:b/>
                <w:sz w:val="20"/>
              </w:rPr>
            </w:pPr>
            <w:r>
              <w:rPr>
                <w:b/>
                <w:sz w:val="20"/>
              </w:rPr>
              <w:t>Total cycles</w:t>
            </w:r>
          </w:p>
        </w:tc>
      </w:tr>
      <w:tr w:rsidR="00AC43DA" w14:paraId="742F1558" w14:textId="77777777">
        <w:trPr>
          <w:trHeight w:val="287"/>
        </w:trPr>
        <w:tc>
          <w:tcPr>
            <w:tcW w:w="886" w:type="dxa"/>
          </w:tcPr>
          <w:p w14:paraId="7826FCCB" w14:textId="77777777" w:rsidR="00AC43DA" w:rsidRDefault="00303B2C">
            <w:pPr>
              <w:pStyle w:val="TableParagraph"/>
              <w:spacing w:before="26"/>
              <w:ind w:left="17"/>
              <w:jc w:val="center"/>
              <w:rPr>
                <w:b/>
                <w:sz w:val="20"/>
              </w:rPr>
            </w:pPr>
            <w:r>
              <w:rPr>
                <w:b/>
                <w:w w:val="96"/>
                <w:sz w:val="20"/>
              </w:rPr>
              <w:t>1</w:t>
            </w:r>
          </w:p>
        </w:tc>
        <w:tc>
          <w:tcPr>
            <w:tcW w:w="1453" w:type="dxa"/>
          </w:tcPr>
          <w:p w14:paraId="0ABCE478" w14:textId="77777777" w:rsidR="00AC43DA" w:rsidRDefault="00303B2C">
            <w:pPr>
              <w:pStyle w:val="TableParagraph"/>
              <w:spacing w:before="22"/>
              <w:ind w:left="91" w:right="75"/>
              <w:jc w:val="center"/>
              <w:rPr>
                <w:sz w:val="20"/>
              </w:rPr>
            </w:pPr>
            <w:r>
              <w:rPr>
                <w:sz w:val="20"/>
              </w:rPr>
              <w:t>52</w:t>
            </w:r>
          </w:p>
        </w:tc>
        <w:tc>
          <w:tcPr>
            <w:tcW w:w="1107" w:type="dxa"/>
          </w:tcPr>
          <w:p w14:paraId="0B9598A7" w14:textId="77777777" w:rsidR="00AC43DA" w:rsidRDefault="00303B2C">
            <w:pPr>
              <w:pStyle w:val="TableParagraph"/>
              <w:spacing w:before="22"/>
              <w:ind w:left="303" w:right="293"/>
              <w:jc w:val="center"/>
              <w:rPr>
                <w:sz w:val="20"/>
              </w:rPr>
            </w:pPr>
            <w:r>
              <w:rPr>
                <w:sz w:val="20"/>
              </w:rPr>
              <w:t>40:00</w:t>
            </w:r>
          </w:p>
        </w:tc>
        <w:tc>
          <w:tcPr>
            <w:tcW w:w="1566" w:type="dxa"/>
          </w:tcPr>
          <w:p w14:paraId="050DF5F8" w14:textId="77777777" w:rsidR="00AC43DA" w:rsidRDefault="00303B2C">
            <w:pPr>
              <w:pStyle w:val="TableParagraph"/>
              <w:ind w:left="725"/>
              <w:rPr>
                <w:rFonts w:ascii="Symbol" w:hAnsi="Symbol"/>
                <w:sz w:val="20"/>
              </w:rPr>
            </w:pPr>
            <w:r>
              <w:rPr>
                <w:rFonts w:ascii="Symbol" w:hAnsi="Symbol"/>
                <w:w w:val="97"/>
                <w:sz w:val="20"/>
              </w:rPr>
              <w:t>-</w:t>
            </w:r>
          </w:p>
        </w:tc>
        <w:tc>
          <w:tcPr>
            <w:tcW w:w="1112" w:type="dxa"/>
          </w:tcPr>
          <w:p w14:paraId="03A1E086" w14:textId="77777777" w:rsidR="00AC43DA" w:rsidRDefault="00303B2C">
            <w:pPr>
              <w:pStyle w:val="TableParagraph"/>
              <w:ind w:left="4"/>
              <w:jc w:val="center"/>
              <w:rPr>
                <w:rFonts w:ascii="Symbol" w:hAnsi="Symbol"/>
                <w:sz w:val="20"/>
              </w:rPr>
            </w:pPr>
            <w:r>
              <w:rPr>
                <w:rFonts w:ascii="Symbol" w:hAnsi="Symbol"/>
                <w:w w:val="97"/>
                <w:sz w:val="20"/>
              </w:rPr>
              <w:t>-</w:t>
            </w:r>
          </w:p>
        </w:tc>
      </w:tr>
      <w:tr w:rsidR="00AC43DA" w14:paraId="47ABB889" w14:textId="77777777">
        <w:trPr>
          <w:trHeight w:val="244"/>
        </w:trPr>
        <w:tc>
          <w:tcPr>
            <w:tcW w:w="886" w:type="dxa"/>
          </w:tcPr>
          <w:p w14:paraId="4D52D8AA" w14:textId="77777777" w:rsidR="00AC43DA" w:rsidRDefault="00303B2C">
            <w:pPr>
              <w:pStyle w:val="TableParagraph"/>
              <w:spacing w:line="223" w:lineRule="exact"/>
              <w:ind w:left="17"/>
              <w:jc w:val="center"/>
              <w:rPr>
                <w:b/>
                <w:sz w:val="20"/>
              </w:rPr>
            </w:pPr>
            <w:r>
              <w:rPr>
                <w:b/>
                <w:w w:val="96"/>
                <w:sz w:val="20"/>
              </w:rPr>
              <w:t>2</w:t>
            </w:r>
          </w:p>
        </w:tc>
        <w:tc>
          <w:tcPr>
            <w:tcW w:w="1453" w:type="dxa"/>
          </w:tcPr>
          <w:p w14:paraId="7E4EC9CC" w14:textId="77777777" w:rsidR="00AC43DA" w:rsidRDefault="00303B2C">
            <w:pPr>
              <w:pStyle w:val="TableParagraph"/>
              <w:spacing w:line="223" w:lineRule="exact"/>
              <w:ind w:left="91" w:right="75"/>
              <w:jc w:val="center"/>
              <w:rPr>
                <w:sz w:val="20"/>
              </w:rPr>
            </w:pPr>
            <w:r>
              <w:rPr>
                <w:sz w:val="20"/>
              </w:rPr>
              <w:t>95</w:t>
            </w:r>
          </w:p>
        </w:tc>
        <w:tc>
          <w:tcPr>
            <w:tcW w:w="1107" w:type="dxa"/>
          </w:tcPr>
          <w:p w14:paraId="2FA0815C" w14:textId="77777777" w:rsidR="00AC43DA" w:rsidRDefault="00303B2C">
            <w:pPr>
              <w:pStyle w:val="TableParagraph"/>
              <w:spacing w:line="223" w:lineRule="exact"/>
              <w:ind w:left="303" w:right="293"/>
              <w:jc w:val="center"/>
              <w:rPr>
                <w:sz w:val="20"/>
              </w:rPr>
            </w:pPr>
            <w:r>
              <w:rPr>
                <w:sz w:val="20"/>
              </w:rPr>
              <w:t>02:00</w:t>
            </w:r>
          </w:p>
        </w:tc>
        <w:tc>
          <w:tcPr>
            <w:tcW w:w="1566" w:type="dxa"/>
          </w:tcPr>
          <w:p w14:paraId="3B8F6FC7" w14:textId="77777777" w:rsidR="00AC43DA" w:rsidRDefault="00303B2C">
            <w:pPr>
              <w:pStyle w:val="TableParagraph"/>
              <w:spacing w:line="224" w:lineRule="exact"/>
              <w:ind w:left="725"/>
              <w:rPr>
                <w:rFonts w:ascii="Symbol" w:hAnsi="Symbol"/>
                <w:sz w:val="20"/>
              </w:rPr>
            </w:pPr>
            <w:r>
              <w:rPr>
                <w:rFonts w:ascii="Symbol" w:hAnsi="Symbol"/>
                <w:w w:val="97"/>
                <w:sz w:val="20"/>
              </w:rPr>
              <w:t>-</w:t>
            </w:r>
          </w:p>
        </w:tc>
        <w:tc>
          <w:tcPr>
            <w:tcW w:w="1112" w:type="dxa"/>
          </w:tcPr>
          <w:p w14:paraId="08BFF878" w14:textId="77777777" w:rsidR="00AC43DA" w:rsidRDefault="00303B2C">
            <w:pPr>
              <w:pStyle w:val="TableParagraph"/>
              <w:spacing w:line="224" w:lineRule="exact"/>
              <w:ind w:left="4"/>
              <w:jc w:val="center"/>
              <w:rPr>
                <w:rFonts w:ascii="Symbol" w:hAnsi="Symbol"/>
                <w:sz w:val="20"/>
              </w:rPr>
            </w:pPr>
            <w:r>
              <w:rPr>
                <w:rFonts w:ascii="Symbol" w:hAnsi="Symbol"/>
                <w:w w:val="97"/>
                <w:sz w:val="20"/>
              </w:rPr>
              <w:t>-</w:t>
            </w:r>
          </w:p>
        </w:tc>
      </w:tr>
      <w:tr w:rsidR="00AC43DA" w14:paraId="5DE601F7" w14:textId="77777777">
        <w:trPr>
          <w:trHeight w:val="244"/>
        </w:trPr>
        <w:tc>
          <w:tcPr>
            <w:tcW w:w="886" w:type="dxa"/>
            <w:vMerge w:val="restart"/>
          </w:tcPr>
          <w:p w14:paraId="21D3284D" w14:textId="77777777" w:rsidR="00AC43DA" w:rsidRDefault="00AC43DA">
            <w:pPr>
              <w:pStyle w:val="TableParagraph"/>
              <w:spacing w:before="5"/>
              <w:ind w:left="0"/>
              <w:rPr>
                <w:sz w:val="24"/>
              </w:rPr>
            </w:pPr>
          </w:p>
          <w:p w14:paraId="3CBDE538" w14:textId="77777777" w:rsidR="00AC43DA" w:rsidRDefault="00303B2C">
            <w:pPr>
              <w:pStyle w:val="TableParagraph"/>
              <w:ind w:left="17"/>
              <w:jc w:val="center"/>
              <w:rPr>
                <w:b/>
                <w:sz w:val="20"/>
              </w:rPr>
            </w:pPr>
            <w:r>
              <w:rPr>
                <w:b/>
                <w:w w:val="96"/>
                <w:sz w:val="20"/>
              </w:rPr>
              <w:t>3</w:t>
            </w:r>
          </w:p>
        </w:tc>
        <w:tc>
          <w:tcPr>
            <w:tcW w:w="1453" w:type="dxa"/>
          </w:tcPr>
          <w:p w14:paraId="5C0F679D" w14:textId="77777777" w:rsidR="00AC43DA" w:rsidRDefault="00303B2C">
            <w:pPr>
              <w:pStyle w:val="TableParagraph"/>
              <w:spacing w:line="223" w:lineRule="exact"/>
              <w:ind w:left="91" w:right="75"/>
              <w:jc w:val="center"/>
              <w:rPr>
                <w:sz w:val="20"/>
              </w:rPr>
            </w:pPr>
            <w:r>
              <w:rPr>
                <w:sz w:val="20"/>
              </w:rPr>
              <w:t>95</w:t>
            </w:r>
          </w:p>
        </w:tc>
        <w:tc>
          <w:tcPr>
            <w:tcW w:w="1107" w:type="dxa"/>
          </w:tcPr>
          <w:p w14:paraId="5606DCCF" w14:textId="77777777" w:rsidR="00AC43DA" w:rsidRDefault="00303B2C">
            <w:pPr>
              <w:pStyle w:val="TableParagraph"/>
              <w:spacing w:line="223" w:lineRule="exact"/>
              <w:ind w:left="303" w:right="293"/>
              <w:jc w:val="center"/>
              <w:rPr>
                <w:sz w:val="20"/>
              </w:rPr>
            </w:pPr>
            <w:r>
              <w:rPr>
                <w:sz w:val="20"/>
              </w:rPr>
              <w:t>00:05</w:t>
            </w:r>
          </w:p>
        </w:tc>
        <w:tc>
          <w:tcPr>
            <w:tcW w:w="1566" w:type="dxa"/>
          </w:tcPr>
          <w:p w14:paraId="6051C4D1" w14:textId="77777777" w:rsidR="00AC43DA" w:rsidRDefault="00303B2C">
            <w:pPr>
              <w:pStyle w:val="TableParagraph"/>
              <w:spacing w:line="224" w:lineRule="exact"/>
              <w:ind w:left="725"/>
              <w:rPr>
                <w:rFonts w:ascii="Symbol" w:hAnsi="Symbol"/>
                <w:sz w:val="20"/>
              </w:rPr>
            </w:pPr>
            <w:r>
              <w:rPr>
                <w:rFonts w:ascii="Symbol" w:hAnsi="Symbol"/>
                <w:w w:val="97"/>
                <w:sz w:val="20"/>
              </w:rPr>
              <w:t>-</w:t>
            </w:r>
          </w:p>
        </w:tc>
        <w:tc>
          <w:tcPr>
            <w:tcW w:w="1112" w:type="dxa"/>
            <w:vMerge w:val="restart"/>
          </w:tcPr>
          <w:p w14:paraId="3BF87B0A" w14:textId="77777777" w:rsidR="00AC43DA" w:rsidRDefault="00AC43DA">
            <w:pPr>
              <w:pStyle w:val="TableParagraph"/>
              <w:ind w:left="0"/>
              <w:rPr>
                <w:sz w:val="24"/>
              </w:rPr>
            </w:pPr>
          </w:p>
          <w:p w14:paraId="469504CD" w14:textId="77777777" w:rsidR="00AC43DA" w:rsidRDefault="00303B2C">
            <w:pPr>
              <w:pStyle w:val="TableParagraph"/>
              <w:ind w:left="3"/>
              <w:jc w:val="center"/>
              <w:rPr>
                <w:sz w:val="20"/>
              </w:rPr>
            </w:pPr>
            <w:r>
              <w:rPr>
                <w:w w:val="96"/>
                <w:sz w:val="20"/>
              </w:rPr>
              <w:t>5</w:t>
            </w:r>
          </w:p>
        </w:tc>
      </w:tr>
      <w:tr w:rsidR="00AC43DA" w14:paraId="61471D19" w14:textId="77777777">
        <w:trPr>
          <w:trHeight w:val="285"/>
        </w:trPr>
        <w:tc>
          <w:tcPr>
            <w:tcW w:w="886" w:type="dxa"/>
            <w:vMerge/>
            <w:tcBorders>
              <w:top w:val="nil"/>
            </w:tcBorders>
          </w:tcPr>
          <w:p w14:paraId="5BE6443C" w14:textId="77777777" w:rsidR="00AC43DA" w:rsidRDefault="00AC43DA">
            <w:pPr>
              <w:rPr>
                <w:sz w:val="2"/>
                <w:szCs w:val="2"/>
              </w:rPr>
            </w:pPr>
          </w:p>
        </w:tc>
        <w:tc>
          <w:tcPr>
            <w:tcW w:w="1453" w:type="dxa"/>
          </w:tcPr>
          <w:p w14:paraId="2BD49408" w14:textId="77777777" w:rsidR="00AC43DA" w:rsidRDefault="00303B2C">
            <w:pPr>
              <w:pStyle w:val="TableParagraph"/>
              <w:spacing w:before="22"/>
              <w:ind w:left="91" w:right="75"/>
              <w:jc w:val="center"/>
              <w:rPr>
                <w:sz w:val="20"/>
              </w:rPr>
            </w:pPr>
            <w:r>
              <w:rPr>
                <w:sz w:val="20"/>
              </w:rPr>
              <w:t>60</w:t>
            </w:r>
          </w:p>
        </w:tc>
        <w:tc>
          <w:tcPr>
            <w:tcW w:w="1107" w:type="dxa"/>
          </w:tcPr>
          <w:p w14:paraId="153FAF68" w14:textId="77777777" w:rsidR="00AC43DA" w:rsidRDefault="00303B2C">
            <w:pPr>
              <w:pStyle w:val="TableParagraph"/>
              <w:spacing w:before="22"/>
              <w:ind w:left="305" w:right="290"/>
              <w:jc w:val="center"/>
              <w:rPr>
                <w:sz w:val="20"/>
              </w:rPr>
            </w:pPr>
            <w:r>
              <w:rPr>
                <w:sz w:val="20"/>
              </w:rPr>
              <w:t>00:15</w:t>
            </w:r>
          </w:p>
        </w:tc>
        <w:tc>
          <w:tcPr>
            <w:tcW w:w="1566" w:type="dxa"/>
          </w:tcPr>
          <w:p w14:paraId="4738DA9C" w14:textId="77777777" w:rsidR="00AC43DA" w:rsidRDefault="00303B2C">
            <w:pPr>
              <w:pStyle w:val="TableParagraph"/>
              <w:spacing w:before="22" w:line="243" w:lineRule="exact"/>
              <w:ind w:left="725"/>
              <w:rPr>
                <w:rFonts w:ascii="Symbol" w:hAnsi="Symbol"/>
                <w:sz w:val="20"/>
              </w:rPr>
            </w:pPr>
            <w:r>
              <w:rPr>
                <w:rFonts w:ascii="Symbol" w:hAnsi="Symbol"/>
                <w:w w:val="97"/>
                <w:sz w:val="20"/>
              </w:rPr>
              <w:t>-</w:t>
            </w:r>
          </w:p>
        </w:tc>
        <w:tc>
          <w:tcPr>
            <w:tcW w:w="1112" w:type="dxa"/>
            <w:vMerge/>
            <w:tcBorders>
              <w:top w:val="nil"/>
            </w:tcBorders>
          </w:tcPr>
          <w:p w14:paraId="6B27647E" w14:textId="77777777" w:rsidR="00AC43DA" w:rsidRDefault="00AC43DA">
            <w:pPr>
              <w:rPr>
                <w:sz w:val="2"/>
                <w:szCs w:val="2"/>
              </w:rPr>
            </w:pPr>
          </w:p>
        </w:tc>
      </w:tr>
      <w:tr w:rsidR="00AC43DA" w14:paraId="17175230" w14:textId="77777777">
        <w:trPr>
          <w:trHeight w:val="245"/>
        </w:trPr>
        <w:tc>
          <w:tcPr>
            <w:tcW w:w="886" w:type="dxa"/>
            <w:vMerge/>
            <w:tcBorders>
              <w:top w:val="nil"/>
            </w:tcBorders>
          </w:tcPr>
          <w:p w14:paraId="00343482" w14:textId="77777777" w:rsidR="00AC43DA" w:rsidRDefault="00AC43DA">
            <w:pPr>
              <w:rPr>
                <w:sz w:val="2"/>
                <w:szCs w:val="2"/>
              </w:rPr>
            </w:pPr>
          </w:p>
        </w:tc>
        <w:tc>
          <w:tcPr>
            <w:tcW w:w="1453" w:type="dxa"/>
          </w:tcPr>
          <w:p w14:paraId="6DCF0C55" w14:textId="77777777" w:rsidR="00AC43DA" w:rsidRDefault="00303B2C">
            <w:pPr>
              <w:pStyle w:val="TableParagraph"/>
              <w:spacing w:line="224" w:lineRule="exact"/>
              <w:ind w:left="91" w:right="75"/>
              <w:jc w:val="center"/>
              <w:rPr>
                <w:sz w:val="20"/>
              </w:rPr>
            </w:pPr>
            <w:r>
              <w:rPr>
                <w:sz w:val="20"/>
              </w:rPr>
              <w:t>67</w:t>
            </w:r>
          </w:p>
        </w:tc>
        <w:tc>
          <w:tcPr>
            <w:tcW w:w="1107" w:type="dxa"/>
          </w:tcPr>
          <w:p w14:paraId="3B19000F" w14:textId="77777777" w:rsidR="00AC43DA" w:rsidRDefault="00303B2C">
            <w:pPr>
              <w:pStyle w:val="TableParagraph"/>
              <w:spacing w:line="224" w:lineRule="exact"/>
              <w:ind w:left="303" w:right="293"/>
              <w:jc w:val="center"/>
              <w:rPr>
                <w:sz w:val="20"/>
              </w:rPr>
            </w:pPr>
            <w:r>
              <w:rPr>
                <w:sz w:val="20"/>
              </w:rPr>
              <w:t>00:30</w:t>
            </w:r>
          </w:p>
        </w:tc>
        <w:tc>
          <w:tcPr>
            <w:tcW w:w="1566" w:type="dxa"/>
          </w:tcPr>
          <w:p w14:paraId="492405F5" w14:textId="77777777" w:rsidR="00AC43DA" w:rsidRDefault="00303B2C">
            <w:pPr>
              <w:pStyle w:val="TableParagraph"/>
              <w:spacing w:line="224" w:lineRule="exact"/>
              <w:ind w:left="725"/>
              <w:rPr>
                <w:rFonts w:ascii="Symbol" w:hAnsi="Symbol"/>
                <w:sz w:val="20"/>
              </w:rPr>
            </w:pPr>
            <w:r>
              <w:rPr>
                <w:rFonts w:ascii="Symbol" w:hAnsi="Symbol"/>
                <w:w w:val="97"/>
                <w:sz w:val="20"/>
              </w:rPr>
              <w:t>-</w:t>
            </w:r>
          </w:p>
        </w:tc>
        <w:tc>
          <w:tcPr>
            <w:tcW w:w="1112" w:type="dxa"/>
            <w:vMerge/>
            <w:tcBorders>
              <w:top w:val="nil"/>
            </w:tcBorders>
          </w:tcPr>
          <w:p w14:paraId="06055EED" w14:textId="77777777" w:rsidR="00AC43DA" w:rsidRDefault="00AC43DA">
            <w:pPr>
              <w:rPr>
                <w:sz w:val="2"/>
                <w:szCs w:val="2"/>
              </w:rPr>
            </w:pPr>
          </w:p>
        </w:tc>
      </w:tr>
      <w:tr w:rsidR="00AC43DA" w14:paraId="26FAC946" w14:textId="77777777">
        <w:trPr>
          <w:trHeight w:val="246"/>
        </w:trPr>
        <w:tc>
          <w:tcPr>
            <w:tcW w:w="886" w:type="dxa"/>
            <w:vMerge w:val="restart"/>
          </w:tcPr>
          <w:p w14:paraId="74B8B5BB" w14:textId="77777777" w:rsidR="00AC43DA" w:rsidRDefault="00AC43DA">
            <w:pPr>
              <w:pStyle w:val="TableParagraph"/>
              <w:ind w:left="0"/>
            </w:pPr>
          </w:p>
          <w:p w14:paraId="6D20ACE9" w14:textId="77777777" w:rsidR="00AC43DA" w:rsidRDefault="00AC43DA">
            <w:pPr>
              <w:pStyle w:val="TableParagraph"/>
              <w:spacing w:before="11"/>
              <w:ind w:left="0"/>
              <w:rPr>
                <w:sz w:val="29"/>
              </w:rPr>
            </w:pPr>
          </w:p>
          <w:p w14:paraId="199648BA" w14:textId="77777777" w:rsidR="00AC43DA" w:rsidRDefault="00303B2C">
            <w:pPr>
              <w:pStyle w:val="TableParagraph"/>
              <w:ind w:left="17"/>
              <w:jc w:val="center"/>
              <w:rPr>
                <w:b/>
                <w:sz w:val="20"/>
              </w:rPr>
            </w:pPr>
            <w:r>
              <w:rPr>
                <w:b/>
                <w:w w:val="96"/>
                <w:sz w:val="20"/>
              </w:rPr>
              <w:t>4</w:t>
            </w:r>
          </w:p>
        </w:tc>
        <w:tc>
          <w:tcPr>
            <w:tcW w:w="1453" w:type="dxa"/>
          </w:tcPr>
          <w:p w14:paraId="3570D892" w14:textId="77777777" w:rsidR="00AC43DA" w:rsidRDefault="00303B2C">
            <w:pPr>
              <w:pStyle w:val="TableParagraph"/>
              <w:spacing w:line="223" w:lineRule="exact"/>
              <w:ind w:left="91" w:right="75"/>
              <w:jc w:val="center"/>
              <w:rPr>
                <w:sz w:val="20"/>
              </w:rPr>
            </w:pPr>
            <w:r>
              <w:rPr>
                <w:sz w:val="20"/>
              </w:rPr>
              <w:t>95</w:t>
            </w:r>
          </w:p>
        </w:tc>
        <w:tc>
          <w:tcPr>
            <w:tcW w:w="1107" w:type="dxa"/>
          </w:tcPr>
          <w:p w14:paraId="45311A14" w14:textId="77777777" w:rsidR="00AC43DA" w:rsidRDefault="00303B2C">
            <w:pPr>
              <w:pStyle w:val="TableParagraph"/>
              <w:spacing w:line="223" w:lineRule="exact"/>
              <w:ind w:left="303" w:right="293"/>
              <w:jc w:val="center"/>
              <w:rPr>
                <w:sz w:val="20"/>
              </w:rPr>
            </w:pPr>
            <w:r>
              <w:rPr>
                <w:sz w:val="20"/>
              </w:rPr>
              <w:t>00:05</w:t>
            </w:r>
          </w:p>
        </w:tc>
        <w:tc>
          <w:tcPr>
            <w:tcW w:w="1566" w:type="dxa"/>
          </w:tcPr>
          <w:p w14:paraId="07C23E39" w14:textId="77777777" w:rsidR="00AC43DA" w:rsidRDefault="00303B2C">
            <w:pPr>
              <w:pStyle w:val="TableParagraph"/>
              <w:spacing w:line="224" w:lineRule="exact"/>
              <w:ind w:left="725"/>
              <w:rPr>
                <w:rFonts w:ascii="Symbol" w:hAnsi="Symbol"/>
                <w:sz w:val="20"/>
              </w:rPr>
            </w:pPr>
            <w:r>
              <w:rPr>
                <w:rFonts w:ascii="Symbol" w:hAnsi="Symbol"/>
                <w:w w:val="97"/>
                <w:sz w:val="20"/>
              </w:rPr>
              <w:t>-</w:t>
            </w:r>
          </w:p>
        </w:tc>
        <w:tc>
          <w:tcPr>
            <w:tcW w:w="1112" w:type="dxa"/>
            <w:vMerge w:val="restart"/>
          </w:tcPr>
          <w:p w14:paraId="41D9B2BA" w14:textId="77777777" w:rsidR="00AC43DA" w:rsidRDefault="00AC43DA">
            <w:pPr>
              <w:pStyle w:val="TableParagraph"/>
              <w:ind w:left="0"/>
            </w:pPr>
          </w:p>
          <w:p w14:paraId="57AA4EE1" w14:textId="77777777" w:rsidR="00AC43DA" w:rsidRDefault="00AC43DA">
            <w:pPr>
              <w:pStyle w:val="TableParagraph"/>
              <w:spacing w:before="6"/>
              <w:ind w:left="0"/>
              <w:rPr>
                <w:sz w:val="29"/>
              </w:rPr>
            </w:pPr>
          </w:p>
          <w:p w14:paraId="3BA0E841" w14:textId="77777777" w:rsidR="00AC43DA" w:rsidRDefault="00303B2C">
            <w:pPr>
              <w:pStyle w:val="TableParagraph"/>
              <w:ind w:left="434" w:right="427"/>
              <w:jc w:val="center"/>
              <w:rPr>
                <w:sz w:val="20"/>
              </w:rPr>
            </w:pPr>
            <w:r>
              <w:rPr>
                <w:sz w:val="20"/>
              </w:rPr>
              <w:t>45</w:t>
            </w:r>
          </w:p>
        </w:tc>
      </w:tr>
      <w:tr w:rsidR="00AC43DA" w:rsidRPr="00E15906" w14:paraId="3536A3C1" w14:textId="77777777">
        <w:trPr>
          <w:trHeight w:val="918"/>
        </w:trPr>
        <w:tc>
          <w:tcPr>
            <w:tcW w:w="886" w:type="dxa"/>
            <w:vMerge/>
            <w:tcBorders>
              <w:top w:val="nil"/>
            </w:tcBorders>
          </w:tcPr>
          <w:p w14:paraId="7E085D17" w14:textId="77777777" w:rsidR="00AC43DA" w:rsidRDefault="00AC43DA">
            <w:pPr>
              <w:rPr>
                <w:sz w:val="2"/>
                <w:szCs w:val="2"/>
              </w:rPr>
            </w:pPr>
          </w:p>
        </w:tc>
        <w:tc>
          <w:tcPr>
            <w:tcW w:w="1453" w:type="dxa"/>
          </w:tcPr>
          <w:p w14:paraId="21E83351" w14:textId="77777777" w:rsidR="00AC43DA" w:rsidRDefault="00AC43DA">
            <w:pPr>
              <w:pStyle w:val="TableParagraph"/>
              <w:spacing w:before="2"/>
              <w:ind w:left="0"/>
              <w:rPr>
                <w:sz w:val="29"/>
              </w:rPr>
            </w:pPr>
          </w:p>
          <w:p w14:paraId="64057CEC" w14:textId="77777777" w:rsidR="00AC43DA" w:rsidRDefault="00303B2C">
            <w:pPr>
              <w:pStyle w:val="TableParagraph"/>
              <w:spacing w:before="1"/>
              <w:ind w:left="91" w:right="75"/>
              <w:jc w:val="center"/>
              <w:rPr>
                <w:sz w:val="20"/>
              </w:rPr>
            </w:pPr>
            <w:r>
              <w:rPr>
                <w:sz w:val="20"/>
              </w:rPr>
              <w:t>60</w:t>
            </w:r>
          </w:p>
        </w:tc>
        <w:tc>
          <w:tcPr>
            <w:tcW w:w="1107" w:type="dxa"/>
          </w:tcPr>
          <w:p w14:paraId="4196430D" w14:textId="77777777" w:rsidR="00AC43DA" w:rsidRDefault="00AC43DA">
            <w:pPr>
              <w:pStyle w:val="TableParagraph"/>
              <w:spacing w:before="2"/>
              <w:ind w:left="0"/>
              <w:rPr>
                <w:sz w:val="29"/>
              </w:rPr>
            </w:pPr>
          </w:p>
          <w:p w14:paraId="3C9710FB" w14:textId="77777777" w:rsidR="00AC43DA" w:rsidRDefault="00303B2C">
            <w:pPr>
              <w:pStyle w:val="TableParagraph"/>
              <w:spacing w:before="1"/>
              <w:ind w:left="305" w:right="290"/>
              <w:jc w:val="center"/>
              <w:rPr>
                <w:sz w:val="20"/>
              </w:rPr>
            </w:pPr>
            <w:r>
              <w:rPr>
                <w:sz w:val="20"/>
              </w:rPr>
              <w:t>00:15</w:t>
            </w:r>
          </w:p>
        </w:tc>
        <w:tc>
          <w:tcPr>
            <w:tcW w:w="1566" w:type="dxa"/>
          </w:tcPr>
          <w:p w14:paraId="0A733D10" w14:textId="77777777" w:rsidR="00AC43DA" w:rsidRPr="001A1BC3" w:rsidRDefault="00303B2C">
            <w:pPr>
              <w:pStyle w:val="TableParagraph"/>
              <w:ind w:left="224" w:right="221" w:firstLine="4"/>
              <w:jc w:val="center"/>
              <w:rPr>
                <w:sz w:val="20"/>
                <w:lang w:val="en-US"/>
              </w:rPr>
            </w:pPr>
            <w:r w:rsidRPr="001A1BC3">
              <w:rPr>
                <w:sz w:val="20"/>
                <w:lang w:val="en-US"/>
              </w:rPr>
              <w:t>FAM/Green, HEX/Yellow,</w:t>
            </w:r>
          </w:p>
          <w:p w14:paraId="01FA340E" w14:textId="77777777" w:rsidR="00AC43DA" w:rsidRPr="001A1BC3" w:rsidRDefault="00303B2C">
            <w:pPr>
              <w:pStyle w:val="TableParagraph"/>
              <w:spacing w:before="7" w:line="216" w:lineRule="exact"/>
              <w:ind w:left="224" w:right="221"/>
              <w:jc w:val="center"/>
              <w:rPr>
                <w:sz w:val="20"/>
                <w:lang w:val="en-US"/>
              </w:rPr>
            </w:pPr>
            <w:r w:rsidRPr="001A1BC3">
              <w:rPr>
                <w:spacing w:val="-1"/>
                <w:sz w:val="20"/>
                <w:lang w:val="en-US"/>
              </w:rPr>
              <w:t>ROX/Orange,</w:t>
            </w:r>
            <w:r w:rsidRPr="001A1BC3">
              <w:rPr>
                <w:sz w:val="20"/>
                <w:lang w:val="en-US"/>
              </w:rPr>
              <w:t>Cy5/Red</w:t>
            </w:r>
          </w:p>
        </w:tc>
        <w:tc>
          <w:tcPr>
            <w:tcW w:w="1112" w:type="dxa"/>
            <w:vMerge/>
            <w:tcBorders>
              <w:top w:val="nil"/>
            </w:tcBorders>
          </w:tcPr>
          <w:p w14:paraId="76ABBB20" w14:textId="77777777" w:rsidR="00AC43DA" w:rsidRPr="001A1BC3" w:rsidRDefault="00AC43DA">
            <w:pPr>
              <w:rPr>
                <w:sz w:val="2"/>
                <w:szCs w:val="2"/>
                <w:lang w:val="en-US"/>
              </w:rPr>
            </w:pPr>
          </w:p>
        </w:tc>
      </w:tr>
      <w:tr w:rsidR="00AC43DA" w14:paraId="13C693A8" w14:textId="77777777">
        <w:trPr>
          <w:trHeight w:val="244"/>
        </w:trPr>
        <w:tc>
          <w:tcPr>
            <w:tcW w:w="886" w:type="dxa"/>
            <w:vMerge/>
            <w:tcBorders>
              <w:top w:val="nil"/>
            </w:tcBorders>
          </w:tcPr>
          <w:p w14:paraId="0C34E787" w14:textId="77777777" w:rsidR="00AC43DA" w:rsidRPr="001A1BC3" w:rsidRDefault="00AC43DA">
            <w:pPr>
              <w:rPr>
                <w:sz w:val="2"/>
                <w:szCs w:val="2"/>
                <w:lang w:val="en-US"/>
              </w:rPr>
            </w:pPr>
          </w:p>
        </w:tc>
        <w:tc>
          <w:tcPr>
            <w:tcW w:w="1453" w:type="dxa"/>
          </w:tcPr>
          <w:p w14:paraId="64A2D34C" w14:textId="77777777" w:rsidR="00AC43DA" w:rsidRDefault="00303B2C">
            <w:pPr>
              <w:pStyle w:val="TableParagraph"/>
              <w:spacing w:line="223" w:lineRule="exact"/>
              <w:ind w:left="91" w:right="75"/>
              <w:jc w:val="center"/>
              <w:rPr>
                <w:sz w:val="20"/>
              </w:rPr>
            </w:pPr>
            <w:r>
              <w:rPr>
                <w:sz w:val="20"/>
              </w:rPr>
              <w:t>67</w:t>
            </w:r>
          </w:p>
        </w:tc>
        <w:tc>
          <w:tcPr>
            <w:tcW w:w="1107" w:type="dxa"/>
          </w:tcPr>
          <w:p w14:paraId="5590FFB9" w14:textId="77777777" w:rsidR="00AC43DA" w:rsidRDefault="00303B2C">
            <w:pPr>
              <w:pStyle w:val="TableParagraph"/>
              <w:spacing w:line="223" w:lineRule="exact"/>
              <w:ind w:left="303" w:right="293"/>
              <w:jc w:val="center"/>
              <w:rPr>
                <w:sz w:val="20"/>
              </w:rPr>
            </w:pPr>
            <w:r>
              <w:rPr>
                <w:sz w:val="20"/>
              </w:rPr>
              <w:t>00:30</w:t>
            </w:r>
          </w:p>
        </w:tc>
        <w:tc>
          <w:tcPr>
            <w:tcW w:w="1566" w:type="dxa"/>
          </w:tcPr>
          <w:p w14:paraId="36AF3260" w14:textId="77777777" w:rsidR="00AC43DA" w:rsidRDefault="00303B2C">
            <w:pPr>
              <w:pStyle w:val="TableParagraph"/>
              <w:spacing w:line="224" w:lineRule="exact"/>
              <w:ind w:left="725"/>
              <w:rPr>
                <w:rFonts w:ascii="Symbol" w:hAnsi="Symbol"/>
                <w:sz w:val="20"/>
              </w:rPr>
            </w:pPr>
            <w:r>
              <w:rPr>
                <w:rFonts w:ascii="Symbol" w:hAnsi="Symbol"/>
                <w:w w:val="97"/>
                <w:sz w:val="20"/>
              </w:rPr>
              <w:t>-</w:t>
            </w:r>
          </w:p>
        </w:tc>
        <w:tc>
          <w:tcPr>
            <w:tcW w:w="1112" w:type="dxa"/>
            <w:vMerge/>
            <w:tcBorders>
              <w:top w:val="nil"/>
            </w:tcBorders>
          </w:tcPr>
          <w:p w14:paraId="7A2C625D" w14:textId="77777777" w:rsidR="00AC43DA" w:rsidRDefault="00AC43DA">
            <w:pPr>
              <w:rPr>
                <w:sz w:val="2"/>
                <w:szCs w:val="2"/>
              </w:rPr>
            </w:pPr>
          </w:p>
        </w:tc>
      </w:tr>
    </w:tbl>
    <w:p w14:paraId="441B4FE6" w14:textId="77777777" w:rsidR="00AC43DA" w:rsidRDefault="00AC43DA">
      <w:pPr>
        <w:pStyle w:val="a3"/>
        <w:spacing w:before="1"/>
        <w:ind w:left="0" w:firstLine="0"/>
        <w:jc w:val="left"/>
        <w:rPr>
          <w:sz w:val="23"/>
        </w:rPr>
      </w:pPr>
    </w:p>
    <w:p w14:paraId="66D50969" w14:textId="77777777" w:rsidR="00AC43DA" w:rsidRPr="001227B6" w:rsidRDefault="00303B2C">
      <w:pPr>
        <w:pStyle w:val="a3"/>
        <w:ind w:right="342"/>
        <w:rPr>
          <w:lang w:val="en-US"/>
        </w:rPr>
      </w:pPr>
      <w:r w:rsidRPr="001227B6">
        <w:rPr>
          <w:b/>
          <w:lang w:val="en-US"/>
        </w:rPr>
        <w:t>ATTENTION!</w:t>
      </w:r>
      <w:r w:rsidRPr="001227B6">
        <w:rPr>
          <w:lang w:val="en-US"/>
        </w:rPr>
        <w:t xml:space="preserve">When using the QuantStudio 5 amplifier, it is necessary to adjust the optical filters before starting the amplification protocol (since without this setting, the VIC signal can be recorded by the ROX channel in the case of </w:t>
      </w:r>
      <w:r>
        <w:t>Δ</w:t>
      </w:r>
      <w:r w:rsidRPr="001227B6">
        <w:rPr>
          <w:lang w:val="en-US"/>
        </w:rPr>
        <w:t>Rn &gt; 100,000, which can lead to false positive results)! To do this, in the “Method” tab, click the “Action” button, and then select from the pop-up menu</w:t>
      </w:r>
    </w:p>
    <w:p w14:paraId="15D6FFB4" w14:textId="77777777" w:rsidR="00AC43DA" w:rsidRPr="001227B6" w:rsidRDefault="00303B2C">
      <w:pPr>
        <w:pStyle w:val="a3"/>
        <w:spacing w:line="242" w:lineRule="auto"/>
        <w:ind w:right="343" w:firstLine="0"/>
        <w:rPr>
          <w:lang w:val="en-US"/>
        </w:rPr>
      </w:pPr>
      <w:r w:rsidRPr="001227B6">
        <w:rPr>
          <w:lang w:val="en-US"/>
        </w:rPr>
        <w:t>“Optical filter settings”, where in the “PCR Filter” section leave only the following filter combinations: x1 – m1, x2 – m2, x4 – m4, x5 – m5, x6 – m6.</w:t>
      </w:r>
    </w:p>
    <w:p w14:paraId="741C47D9" w14:textId="77777777" w:rsidR="00AC43DA" w:rsidRPr="001227B6" w:rsidRDefault="00303B2C">
      <w:pPr>
        <w:pStyle w:val="a6"/>
        <w:numPr>
          <w:ilvl w:val="0"/>
          <w:numId w:val="1"/>
        </w:numPr>
        <w:tabs>
          <w:tab w:val="left" w:pos="1181"/>
        </w:tabs>
        <w:ind w:right="351" w:firstLine="564"/>
        <w:rPr>
          <w:sz w:val="24"/>
          <w:lang w:val="en-US"/>
        </w:rPr>
      </w:pPr>
      <w:r w:rsidRPr="001227B6">
        <w:rPr>
          <w:sz w:val="24"/>
          <w:lang w:val="en-US"/>
        </w:rPr>
        <w:t>Indicate the number and identifiers of samples, mark the location of the tubes on the thermoblock matrix in accordance with their installation.</w:t>
      </w:r>
    </w:p>
    <w:p w14:paraId="7BFD3728" w14:textId="77777777" w:rsidR="00AC43DA" w:rsidRPr="001227B6" w:rsidRDefault="00303B2C">
      <w:pPr>
        <w:pStyle w:val="a6"/>
        <w:numPr>
          <w:ilvl w:val="0"/>
          <w:numId w:val="1"/>
        </w:numPr>
        <w:tabs>
          <w:tab w:val="left" w:pos="1181"/>
        </w:tabs>
        <w:ind w:right="347" w:firstLine="564"/>
        <w:rPr>
          <w:sz w:val="24"/>
          <w:lang w:val="en-US"/>
        </w:rPr>
      </w:pPr>
      <w:r w:rsidRPr="001227B6">
        <w:rPr>
          <w:sz w:val="24"/>
          <w:lang w:val="en-US"/>
        </w:rPr>
        <w:t>Make sure that the FAM/Green, HEX/Yellow, ROX/Orange and Cy5/Red detection channels are enabled in the optical measurement parameters of the amplification program.</w:t>
      </w:r>
    </w:p>
    <w:p w14:paraId="3C39E5F4" w14:textId="77777777" w:rsidR="00AC43DA" w:rsidRPr="001227B6" w:rsidRDefault="00303B2C">
      <w:pPr>
        <w:pStyle w:val="a6"/>
        <w:numPr>
          <w:ilvl w:val="0"/>
          <w:numId w:val="1"/>
        </w:numPr>
        <w:tabs>
          <w:tab w:val="left" w:pos="1181"/>
        </w:tabs>
        <w:ind w:left="1180" w:hanging="289"/>
        <w:rPr>
          <w:sz w:val="24"/>
          <w:lang w:val="en-US"/>
        </w:rPr>
      </w:pPr>
      <w:r w:rsidRPr="001227B6">
        <w:rPr>
          <w:sz w:val="24"/>
          <w:lang w:val="en-US"/>
        </w:rPr>
        <w:t>Run RT-PCR with fluorescent signal detection.</w:t>
      </w:r>
    </w:p>
    <w:p w14:paraId="14379530" w14:textId="77777777" w:rsidR="00AC43DA" w:rsidRPr="001227B6" w:rsidRDefault="00303B2C">
      <w:pPr>
        <w:pStyle w:val="a6"/>
        <w:numPr>
          <w:ilvl w:val="0"/>
          <w:numId w:val="1"/>
        </w:numPr>
        <w:tabs>
          <w:tab w:val="left" w:pos="1181"/>
        </w:tabs>
        <w:ind w:right="349" w:firstLine="564"/>
        <w:rPr>
          <w:sz w:val="24"/>
          <w:lang w:val="en-US"/>
        </w:rPr>
      </w:pPr>
      <w:r w:rsidRPr="001227B6">
        <w:rPr>
          <w:sz w:val="24"/>
          <w:lang w:val="en-US"/>
        </w:rPr>
        <w:t>After completing the program, begin analyzing the results.</w:t>
      </w:r>
    </w:p>
    <w:p w14:paraId="33631A38" w14:textId="77777777" w:rsidR="00AC43DA" w:rsidRPr="001227B6" w:rsidRDefault="00AC43DA">
      <w:pPr>
        <w:jc w:val="both"/>
        <w:rPr>
          <w:sz w:val="24"/>
          <w:lang w:val="en-US"/>
        </w:rPr>
        <w:sectPr w:rsidR="00AC43DA" w:rsidRPr="001227B6">
          <w:pgSz w:w="8400" w:h="11920"/>
          <w:pgMar w:top="400" w:right="240" w:bottom="640" w:left="380" w:header="0" w:footer="378" w:gutter="0"/>
          <w:cols w:space="720"/>
        </w:sectPr>
      </w:pPr>
    </w:p>
    <w:p w14:paraId="7BF1B0A1" w14:textId="77777777" w:rsidR="00AC43DA" w:rsidRDefault="00303B2C">
      <w:pPr>
        <w:pStyle w:val="1"/>
        <w:numPr>
          <w:ilvl w:val="1"/>
          <w:numId w:val="1"/>
        </w:numPr>
        <w:tabs>
          <w:tab w:val="left" w:pos="1709"/>
        </w:tabs>
        <w:spacing w:before="63"/>
        <w:ind w:hanging="361"/>
        <w:jc w:val="both"/>
      </w:pPr>
      <w:r>
        <w:lastRenderedPageBreak/>
        <w:t>Registration and interpretation of results</w:t>
      </w:r>
    </w:p>
    <w:p w14:paraId="02120BF9" w14:textId="77777777" w:rsidR="00AC43DA" w:rsidRPr="001227B6" w:rsidRDefault="00303B2C">
      <w:pPr>
        <w:pStyle w:val="a3"/>
        <w:spacing w:before="2"/>
        <w:ind w:right="342"/>
        <w:rPr>
          <w:lang w:val="en-US"/>
        </w:rPr>
      </w:pPr>
      <w:r w:rsidRPr="001227B6">
        <w:rPr>
          <w:lang w:val="en-US"/>
        </w:rPr>
        <w:t>Registration of results is carried out upon completion of RT-PCR automatically using the software of the device used.</w:t>
      </w:r>
    </w:p>
    <w:p w14:paraId="09621020" w14:textId="77777777" w:rsidR="00AC43DA" w:rsidRPr="001227B6" w:rsidRDefault="00303B2C">
      <w:pPr>
        <w:pStyle w:val="1"/>
        <w:spacing w:line="274" w:lineRule="exact"/>
        <w:rPr>
          <w:lang w:val="en-US"/>
        </w:rPr>
      </w:pPr>
      <w:r w:rsidRPr="001227B6">
        <w:rPr>
          <w:lang w:val="en-US"/>
        </w:rPr>
        <w:t>Recommendations for setting the threshold line</w:t>
      </w:r>
    </w:p>
    <w:p w14:paraId="121145BD" w14:textId="77777777" w:rsidR="00AC43DA" w:rsidRPr="001227B6" w:rsidRDefault="00303B2C">
      <w:pPr>
        <w:pStyle w:val="a3"/>
        <w:spacing w:before="5"/>
        <w:ind w:right="341"/>
        <w:rPr>
          <w:lang w:val="en-US"/>
        </w:rPr>
      </w:pPr>
      <w:r w:rsidRPr="001227B6">
        <w:rPr>
          <w:lang w:val="en-US"/>
        </w:rPr>
        <w:t>For amplifiers of any model, the threshold line is set individually for each detection channel at a level corresponding to 5–10% of the maximum fluorescence level obtained for the positive control sample in the last amplification cycle.</w:t>
      </w:r>
    </w:p>
    <w:p w14:paraId="3BAD3147" w14:textId="021CD9D8" w:rsidR="00AC43DA" w:rsidRPr="001227B6" w:rsidRDefault="00303B2C">
      <w:pPr>
        <w:pStyle w:val="a3"/>
        <w:ind w:right="346"/>
        <w:rPr>
          <w:lang w:val="en-US"/>
        </w:rPr>
      </w:pPr>
      <w:r w:rsidRPr="001227B6">
        <w:rPr>
          <w:lang w:val="en-US"/>
        </w:rPr>
        <w:t>The interpretation of the results is carried out based on the Ct values for the detection channels corresponding to the fluorophores FAM/Green, HEX/Yellow, ROX/Orange and Cy5/Red (Table 1). Only Ct values obtained at the PCR stage with fluorescent detection are taken into account (that is, corresponding to stage 4 - see Table 6).</w:t>
      </w:r>
    </w:p>
    <w:p w14:paraId="7E484246" w14:textId="18EF41F4" w:rsidR="00AC43DA" w:rsidRPr="001227B6" w:rsidRDefault="00303B2C">
      <w:pPr>
        <w:pStyle w:val="a3"/>
        <w:ind w:right="346"/>
        <w:rPr>
          <w:lang w:val="en-US"/>
        </w:rPr>
      </w:pPr>
      <w:r w:rsidRPr="001227B6">
        <w:rPr>
          <w:lang w:val="en-US"/>
        </w:rPr>
        <w:t xml:space="preserve">First, it is necessary to evaluate the progress of the reaction and the Ct values in the control samples. Interpretation of the results in the studied samples begins only after the correct passage of the </w:t>
      </w:r>
      <w:r w:rsidR="00FC0F55">
        <w:rPr>
          <w:lang w:val="en-US"/>
        </w:rPr>
        <w:t>PCS</w:t>
      </w:r>
      <w:r w:rsidRPr="001227B6">
        <w:rPr>
          <w:lang w:val="en-US"/>
        </w:rPr>
        <w:t xml:space="preserve"> and </w:t>
      </w:r>
      <w:r w:rsidR="00FC0F55">
        <w:rPr>
          <w:lang w:val="en-US"/>
        </w:rPr>
        <w:t>NCS</w:t>
      </w:r>
      <w:r w:rsidRPr="001227B6">
        <w:rPr>
          <w:lang w:val="en-US"/>
        </w:rPr>
        <w:t>.</w:t>
      </w:r>
    </w:p>
    <w:p w14:paraId="352378E8" w14:textId="77777777" w:rsidR="00AC43DA" w:rsidRPr="001227B6" w:rsidRDefault="00303B2C">
      <w:pPr>
        <w:pStyle w:val="a3"/>
        <w:ind w:right="345"/>
        <w:rPr>
          <w:lang w:val="en-US"/>
        </w:rPr>
      </w:pPr>
      <w:r w:rsidRPr="001227B6">
        <w:rPr>
          <w:b/>
          <w:lang w:val="en-US"/>
        </w:rPr>
        <w:t>ATTENTION!</w:t>
      </w:r>
      <w:r w:rsidRPr="001227B6">
        <w:rPr>
          <w:lang w:val="en-US"/>
        </w:rPr>
        <w:t>In the case of using the Rotor-Gene 6000, Rotor-Gene 3000, Rotor-Gene Q and similar amplifiers, activate the “Dynamic” functions. background" (Dynamic Tube), "Correct. slope" (Noise slope correction), set the value to 10% in the section</w:t>
      </w:r>
    </w:p>
    <w:p w14:paraId="2CE23154" w14:textId="77777777" w:rsidR="00AC43DA" w:rsidRPr="001227B6" w:rsidRDefault="00303B2C">
      <w:pPr>
        <w:pStyle w:val="a3"/>
        <w:ind w:firstLine="0"/>
        <w:rPr>
          <w:lang w:val="en-US"/>
        </w:rPr>
      </w:pPr>
      <w:r w:rsidRPr="001227B6">
        <w:rPr>
          <w:lang w:val="en-US"/>
        </w:rPr>
        <w:t>Outlier Removal.</w:t>
      </w:r>
    </w:p>
    <w:p w14:paraId="7C8B1D35" w14:textId="77777777" w:rsidR="00AC43DA" w:rsidRPr="001227B6" w:rsidRDefault="00303B2C">
      <w:pPr>
        <w:pStyle w:val="1"/>
        <w:rPr>
          <w:lang w:val="en-US"/>
        </w:rPr>
      </w:pPr>
      <w:r w:rsidRPr="001227B6">
        <w:rPr>
          <w:lang w:val="en-US"/>
        </w:rPr>
        <w:t>Interpretation of results in control samples</w:t>
      </w:r>
    </w:p>
    <w:p w14:paraId="7FEC7535" w14:textId="18115DEB" w:rsidR="00AC43DA" w:rsidRPr="001227B6" w:rsidRDefault="00303B2C">
      <w:pPr>
        <w:pStyle w:val="a3"/>
        <w:spacing w:before="2"/>
        <w:ind w:right="353"/>
        <w:rPr>
          <w:lang w:val="en-US"/>
        </w:rPr>
      </w:pPr>
      <w:r w:rsidRPr="001227B6">
        <w:rPr>
          <w:lang w:val="en-US"/>
        </w:rPr>
        <w:t xml:space="preserve">For </w:t>
      </w:r>
      <w:r w:rsidR="002A5296">
        <w:rPr>
          <w:lang w:val="en-US"/>
        </w:rPr>
        <w:t>NCS</w:t>
      </w:r>
      <w:r w:rsidRPr="001227B6">
        <w:rPr>
          <w:lang w:val="en-US"/>
        </w:rPr>
        <w:t xml:space="preserve"> and </w:t>
      </w:r>
      <w:r w:rsidR="002A5296">
        <w:rPr>
          <w:lang w:val="en-US"/>
        </w:rPr>
        <w:t>PCS</w:t>
      </w:r>
      <w:r w:rsidRPr="001227B6">
        <w:rPr>
          <w:lang w:val="en-US"/>
        </w:rPr>
        <w:t>, the following results should be obtained (Table 7).</w:t>
      </w:r>
    </w:p>
    <w:p w14:paraId="2D59754E" w14:textId="35CCB8C7" w:rsidR="00AC43DA" w:rsidRPr="001227B6" w:rsidRDefault="00303B2C">
      <w:pPr>
        <w:pStyle w:val="a3"/>
        <w:spacing w:after="9"/>
        <w:ind w:left="894" w:firstLine="0"/>
        <w:rPr>
          <w:lang w:val="en-US"/>
        </w:rPr>
      </w:pPr>
      <w:r w:rsidRPr="001227B6">
        <w:rPr>
          <w:lang w:val="en-US"/>
        </w:rPr>
        <w:t xml:space="preserve">Table 7 – Study results for </w:t>
      </w:r>
      <w:r w:rsidR="002A5296">
        <w:rPr>
          <w:lang w:val="en-US"/>
        </w:rPr>
        <w:t>NCS</w:t>
      </w:r>
      <w:r w:rsidRPr="001227B6">
        <w:rPr>
          <w:lang w:val="en-US"/>
        </w:rPr>
        <w:t xml:space="preserve"> and </w:t>
      </w:r>
      <w:r w:rsidR="002A5296">
        <w:rPr>
          <w:lang w:val="en-US"/>
        </w:rPr>
        <w:t>PCS</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419"/>
        <w:gridCol w:w="1419"/>
        <w:gridCol w:w="1417"/>
        <w:gridCol w:w="1422"/>
      </w:tblGrid>
      <w:tr w:rsidR="00AC43DA" w:rsidRPr="00E15906" w14:paraId="5861317B" w14:textId="77777777">
        <w:trPr>
          <w:trHeight w:val="460"/>
        </w:trPr>
        <w:tc>
          <w:tcPr>
            <w:tcW w:w="1414" w:type="dxa"/>
            <w:vMerge w:val="restart"/>
          </w:tcPr>
          <w:p w14:paraId="5BF5FF56" w14:textId="77777777" w:rsidR="00AC43DA" w:rsidRDefault="00303B2C">
            <w:pPr>
              <w:pStyle w:val="TableParagraph"/>
              <w:spacing w:before="113"/>
              <w:ind w:left="379" w:right="101" w:hanging="253"/>
              <w:rPr>
                <w:sz w:val="20"/>
              </w:rPr>
            </w:pPr>
            <w:r>
              <w:rPr>
                <w:spacing w:val="-1"/>
                <w:sz w:val="20"/>
              </w:rPr>
              <w:t>Control</w:t>
            </w:r>
            <w:r>
              <w:rPr>
                <w:sz w:val="20"/>
              </w:rPr>
              <w:t>sample</w:t>
            </w:r>
          </w:p>
        </w:tc>
        <w:tc>
          <w:tcPr>
            <w:tcW w:w="5677" w:type="dxa"/>
            <w:gridSpan w:val="4"/>
          </w:tcPr>
          <w:p w14:paraId="07516375" w14:textId="27DDED2A" w:rsidR="00AC43DA" w:rsidRPr="001227B6" w:rsidRDefault="00303B2C">
            <w:pPr>
              <w:pStyle w:val="TableParagraph"/>
              <w:spacing w:line="228" w:lineRule="auto"/>
              <w:ind w:left="2252" w:right="579" w:hanging="1669"/>
              <w:rPr>
                <w:sz w:val="20"/>
                <w:lang w:val="en-US"/>
              </w:rPr>
            </w:pPr>
            <w:r w:rsidRPr="001227B6">
              <w:rPr>
                <w:sz w:val="20"/>
                <w:lang w:val="en-US"/>
              </w:rPr>
              <w:t>Ct values for detection channels corresponding to fluorophores</w:t>
            </w:r>
          </w:p>
        </w:tc>
      </w:tr>
      <w:tr w:rsidR="00AC43DA" w14:paraId="2984EFAB" w14:textId="77777777">
        <w:trPr>
          <w:trHeight w:val="230"/>
        </w:trPr>
        <w:tc>
          <w:tcPr>
            <w:tcW w:w="1414" w:type="dxa"/>
            <w:vMerge/>
            <w:tcBorders>
              <w:top w:val="nil"/>
            </w:tcBorders>
          </w:tcPr>
          <w:p w14:paraId="23B41B72" w14:textId="77777777" w:rsidR="00AC43DA" w:rsidRPr="001227B6" w:rsidRDefault="00AC43DA">
            <w:pPr>
              <w:rPr>
                <w:sz w:val="2"/>
                <w:szCs w:val="2"/>
                <w:lang w:val="en-US"/>
              </w:rPr>
            </w:pPr>
          </w:p>
        </w:tc>
        <w:tc>
          <w:tcPr>
            <w:tcW w:w="1419" w:type="dxa"/>
          </w:tcPr>
          <w:p w14:paraId="4F8D9D22" w14:textId="77777777" w:rsidR="00AC43DA" w:rsidRDefault="00303B2C">
            <w:pPr>
              <w:pStyle w:val="TableParagraph"/>
              <w:spacing w:line="210" w:lineRule="exact"/>
              <w:ind w:left="157" w:right="150"/>
              <w:jc w:val="center"/>
              <w:rPr>
                <w:sz w:val="20"/>
              </w:rPr>
            </w:pPr>
            <w:r>
              <w:rPr>
                <w:sz w:val="20"/>
              </w:rPr>
              <w:t>FAM/Green</w:t>
            </w:r>
          </w:p>
        </w:tc>
        <w:tc>
          <w:tcPr>
            <w:tcW w:w="1419" w:type="dxa"/>
          </w:tcPr>
          <w:p w14:paraId="06D20E73" w14:textId="77777777" w:rsidR="00AC43DA" w:rsidRDefault="00303B2C">
            <w:pPr>
              <w:pStyle w:val="TableParagraph"/>
              <w:spacing w:line="210" w:lineRule="exact"/>
              <w:ind w:left="163" w:right="150"/>
              <w:jc w:val="center"/>
              <w:rPr>
                <w:sz w:val="20"/>
              </w:rPr>
            </w:pPr>
            <w:r>
              <w:rPr>
                <w:sz w:val="20"/>
              </w:rPr>
              <w:t>HEX/Yellow</w:t>
            </w:r>
          </w:p>
        </w:tc>
        <w:tc>
          <w:tcPr>
            <w:tcW w:w="1417" w:type="dxa"/>
          </w:tcPr>
          <w:p w14:paraId="4381173C" w14:textId="77777777" w:rsidR="00AC43DA" w:rsidRDefault="00303B2C">
            <w:pPr>
              <w:pStyle w:val="TableParagraph"/>
              <w:spacing w:line="210" w:lineRule="exact"/>
              <w:ind w:left="156" w:right="144"/>
              <w:jc w:val="center"/>
              <w:rPr>
                <w:sz w:val="20"/>
              </w:rPr>
            </w:pPr>
            <w:r>
              <w:rPr>
                <w:sz w:val="20"/>
              </w:rPr>
              <w:t>ROX/Orange</w:t>
            </w:r>
          </w:p>
        </w:tc>
        <w:tc>
          <w:tcPr>
            <w:tcW w:w="1422" w:type="dxa"/>
          </w:tcPr>
          <w:p w14:paraId="4A65413F" w14:textId="77777777" w:rsidR="00AC43DA" w:rsidRDefault="00303B2C">
            <w:pPr>
              <w:pStyle w:val="TableParagraph"/>
              <w:spacing w:line="210" w:lineRule="exact"/>
              <w:ind w:left="335" w:right="325"/>
              <w:jc w:val="center"/>
              <w:rPr>
                <w:sz w:val="20"/>
              </w:rPr>
            </w:pPr>
            <w:r>
              <w:rPr>
                <w:sz w:val="20"/>
              </w:rPr>
              <w:t>Cy5/Red</w:t>
            </w:r>
          </w:p>
        </w:tc>
      </w:tr>
      <w:tr w:rsidR="00AC43DA" w14:paraId="4B9AA9FD" w14:textId="77777777">
        <w:trPr>
          <w:trHeight w:val="457"/>
        </w:trPr>
        <w:tc>
          <w:tcPr>
            <w:tcW w:w="1414" w:type="dxa"/>
          </w:tcPr>
          <w:p w14:paraId="6BEB4E88" w14:textId="5F4E9503" w:rsidR="00AC43DA" w:rsidRDefault="002A5296">
            <w:pPr>
              <w:pStyle w:val="TableParagraph"/>
              <w:spacing w:before="106"/>
              <w:ind w:left="475" w:right="465"/>
              <w:jc w:val="center"/>
              <w:rPr>
                <w:sz w:val="20"/>
              </w:rPr>
            </w:pPr>
            <w:r>
              <w:rPr>
                <w:sz w:val="20"/>
              </w:rPr>
              <w:t>NCS</w:t>
            </w:r>
          </w:p>
        </w:tc>
        <w:tc>
          <w:tcPr>
            <w:tcW w:w="1419" w:type="dxa"/>
          </w:tcPr>
          <w:p w14:paraId="3D30A853" w14:textId="77777777" w:rsidR="00AC43DA" w:rsidRDefault="00303B2C">
            <w:pPr>
              <w:pStyle w:val="TableParagraph"/>
              <w:spacing w:line="228" w:lineRule="auto"/>
              <w:ind w:left="206" w:firstLine="144"/>
              <w:rPr>
                <w:sz w:val="20"/>
              </w:rPr>
            </w:pPr>
            <w:r>
              <w:rPr>
                <w:sz w:val="20"/>
              </w:rPr>
              <w:t>&gt; 35 or absent</w:t>
            </w:r>
          </w:p>
        </w:tc>
        <w:tc>
          <w:tcPr>
            <w:tcW w:w="1419" w:type="dxa"/>
          </w:tcPr>
          <w:p w14:paraId="0EB647CE" w14:textId="77777777" w:rsidR="00AC43DA" w:rsidRDefault="00303B2C">
            <w:pPr>
              <w:pStyle w:val="TableParagraph"/>
              <w:spacing w:before="106"/>
              <w:ind w:left="163" w:right="141"/>
              <w:jc w:val="center"/>
              <w:rPr>
                <w:sz w:val="20"/>
              </w:rPr>
            </w:pPr>
            <w:r>
              <w:rPr>
                <w:sz w:val="20"/>
              </w:rPr>
              <w:t>≤ 32</w:t>
            </w:r>
          </w:p>
        </w:tc>
        <w:tc>
          <w:tcPr>
            <w:tcW w:w="1417" w:type="dxa"/>
          </w:tcPr>
          <w:p w14:paraId="01ED608A" w14:textId="77777777" w:rsidR="00AC43DA" w:rsidRDefault="00303B2C">
            <w:pPr>
              <w:pStyle w:val="TableParagraph"/>
              <w:spacing w:line="228" w:lineRule="auto"/>
              <w:ind w:left="203" w:firstLine="144"/>
              <w:rPr>
                <w:sz w:val="20"/>
              </w:rPr>
            </w:pPr>
            <w:r>
              <w:rPr>
                <w:sz w:val="20"/>
              </w:rPr>
              <w:t>&gt; 35 or absent</w:t>
            </w:r>
          </w:p>
        </w:tc>
        <w:tc>
          <w:tcPr>
            <w:tcW w:w="1422" w:type="dxa"/>
          </w:tcPr>
          <w:p w14:paraId="0A9D322D" w14:textId="77777777" w:rsidR="00AC43DA" w:rsidRDefault="00303B2C">
            <w:pPr>
              <w:pStyle w:val="TableParagraph"/>
              <w:spacing w:line="228" w:lineRule="auto"/>
              <w:ind w:left="207" w:firstLine="141"/>
              <w:rPr>
                <w:sz w:val="20"/>
              </w:rPr>
            </w:pPr>
            <w:r>
              <w:rPr>
                <w:sz w:val="20"/>
              </w:rPr>
              <w:t>&gt; 35 or absent</w:t>
            </w:r>
          </w:p>
        </w:tc>
      </w:tr>
      <w:tr w:rsidR="00AC43DA" w14:paraId="2A91B032" w14:textId="77777777">
        <w:trPr>
          <w:trHeight w:val="232"/>
        </w:trPr>
        <w:tc>
          <w:tcPr>
            <w:tcW w:w="1414" w:type="dxa"/>
          </w:tcPr>
          <w:p w14:paraId="07781DE1" w14:textId="69B737FB" w:rsidR="00AC43DA" w:rsidRDefault="002A5296">
            <w:pPr>
              <w:pStyle w:val="TableParagraph"/>
              <w:spacing w:line="212" w:lineRule="exact"/>
              <w:ind w:left="475" w:right="465"/>
              <w:jc w:val="center"/>
              <w:rPr>
                <w:sz w:val="20"/>
              </w:rPr>
            </w:pPr>
            <w:r>
              <w:rPr>
                <w:sz w:val="20"/>
              </w:rPr>
              <w:t>PCS</w:t>
            </w:r>
          </w:p>
        </w:tc>
        <w:tc>
          <w:tcPr>
            <w:tcW w:w="1419" w:type="dxa"/>
          </w:tcPr>
          <w:p w14:paraId="261EF62A" w14:textId="77777777" w:rsidR="00AC43DA" w:rsidRDefault="00303B2C">
            <w:pPr>
              <w:pStyle w:val="TableParagraph"/>
              <w:spacing w:line="212" w:lineRule="exact"/>
              <w:ind w:left="163" w:right="146"/>
              <w:jc w:val="center"/>
              <w:rPr>
                <w:sz w:val="20"/>
              </w:rPr>
            </w:pPr>
            <w:r>
              <w:rPr>
                <w:sz w:val="20"/>
              </w:rPr>
              <w:t>≤30</w:t>
            </w:r>
          </w:p>
        </w:tc>
        <w:tc>
          <w:tcPr>
            <w:tcW w:w="1419" w:type="dxa"/>
          </w:tcPr>
          <w:p w14:paraId="0CD6704B" w14:textId="77777777" w:rsidR="00AC43DA" w:rsidRDefault="00303B2C">
            <w:pPr>
              <w:pStyle w:val="TableParagraph"/>
              <w:spacing w:line="212" w:lineRule="exact"/>
              <w:ind w:left="163" w:right="137"/>
              <w:jc w:val="center"/>
              <w:rPr>
                <w:sz w:val="20"/>
              </w:rPr>
            </w:pPr>
            <w:r>
              <w:rPr>
                <w:sz w:val="20"/>
              </w:rPr>
              <w:t>≤30</w:t>
            </w:r>
          </w:p>
        </w:tc>
        <w:tc>
          <w:tcPr>
            <w:tcW w:w="1417" w:type="dxa"/>
          </w:tcPr>
          <w:p w14:paraId="199EA838" w14:textId="77777777" w:rsidR="00AC43DA" w:rsidRDefault="00303B2C">
            <w:pPr>
              <w:pStyle w:val="TableParagraph"/>
              <w:spacing w:line="212" w:lineRule="exact"/>
              <w:ind w:left="156" w:right="139"/>
              <w:jc w:val="center"/>
              <w:rPr>
                <w:sz w:val="20"/>
              </w:rPr>
            </w:pPr>
            <w:r>
              <w:rPr>
                <w:sz w:val="20"/>
              </w:rPr>
              <w:t>≤30</w:t>
            </w:r>
          </w:p>
        </w:tc>
        <w:tc>
          <w:tcPr>
            <w:tcW w:w="1422" w:type="dxa"/>
          </w:tcPr>
          <w:p w14:paraId="76A81DF1" w14:textId="77777777" w:rsidR="00AC43DA" w:rsidRDefault="00303B2C">
            <w:pPr>
              <w:pStyle w:val="TableParagraph"/>
              <w:spacing w:line="212" w:lineRule="exact"/>
              <w:ind w:left="335" w:right="319"/>
              <w:jc w:val="center"/>
              <w:rPr>
                <w:sz w:val="20"/>
              </w:rPr>
            </w:pPr>
            <w:r>
              <w:rPr>
                <w:sz w:val="20"/>
              </w:rPr>
              <w:t>≤30</w:t>
            </w:r>
          </w:p>
        </w:tc>
      </w:tr>
    </w:tbl>
    <w:p w14:paraId="32213B91" w14:textId="77777777" w:rsidR="00AC43DA" w:rsidRDefault="00AC43DA">
      <w:pPr>
        <w:pStyle w:val="a3"/>
        <w:spacing w:before="1"/>
        <w:ind w:left="0" w:firstLine="0"/>
        <w:jc w:val="left"/>
        <w:rPr>
          <w:sz w:val="23"/>
        </w:rPr>
      </w:pPr>
    </w:p>
    <w:p w14:paraId="3FF6F581" w14:textId="07E038DC" w:rsidR="00AC43DA" w:rsidRPr="001227B6" w:rsidRDefault="00303B2C">
      <w:pPr>
        <w:pStyle w:val="a3"/>
        <w:ind w:right="344"/>
        <w:rPr>
          <w:lang w:val="en-US"/>
        </w:rPr>
      </w:pPr>
      <w:r w:rsidRPr="001227B6">
        <w:rPr>
          <w:lang w:val="en-US"/>
        </w:rPr>
        <w:t xml:space="preserve">If values for the </w:t>
      </w:r>
      <w:r w:rsidR="002A5296">
        <w:rPr>
          <w:lang w:val="en-US"/>
        </w:rPr>
        <w:t>NCS</w:t>
      </w:r>
      <w:r w:rsidRPr="001227B6">
        <w:rPr>
          <w:lang w:val="en-US"/>
        </w:rPr>
        <w:t xml:space="preserve"> are obtained that differ from those indicated in Table 7, the results of the entire production series are considered unreliable. In this case, it is necessary to carry out</w:t>
      </w:r>
    </w:p>
    <w:p w14:paraId="003528D0" w14:textId="77777777" w:rsidR="00AC43DA" w:rsidRPr="001227B6" w:rsidRDefault="00AC43DA">
      <w:pPr>
        <w:rPr>
          <w:lang w:val="en-US"/>
        </w:rPr>
        <w:sectPr w:rsidR="00AC43DA" w:rsidRPr="001227B6">
          <w:pgSz w:w="8400" w:h="11920"/>
          <w:pgMar w:top="400" w:right="240" w:bottom="640" w:left="380" w:header="0" w:footer="378" w:gutter="0"/>
          <w:cols w:space="720"/>
        </w:sectPr>
      </w:pPr>
    </w:p>
    <w:p w14:paraId="126B69F7" w14:textId="77777777" w:rsidR="00AC43DA" w:rsidRPr="001227B6" w:rsidRDefault="00303B2C">
      <w:pPr>
        <w:pStyle w:val="a3"/>
        <w:spacing w:before="60"/>
        <w:ind w:right="350" w:firstLine="0"/>
        <w:rPr>
          <w:lang w:val="en-US"/>
        </w:rPr>
      </w:pPr>
      <w:r w:rsidRPr="001227B6">
        <w:rPr>
          <w:lang w:val="en-US"/>
        </w:rPr>
        <w:lastRenderedPageBreak/>
        <w:t>special measures to eliminate possible contamination.</w:t>
      </w:r>
    </w:p>
    <w:p w14:paraId="3DCCD743" w14:textId="1E6D279B" w:rsidR="00AC43DA" w:rsidRPr="001227B6" w:rsidRDefault="00303B2C">
      <w:pPr>
        <w:pStyle w:val="a3"/>
        <w:ind w:right="346"/>
        <w:rPr>
          <w:lang w:val="en-US"/>
        </w:rPr>
      </w:pPr>
      <w:r w:rsidRPr="001227B6">
        <w:rPr>
          <w:lang w:val="en-US"/>
        </w:rPr>
        <w:t xml:space="preserve">If values for the </w:t>
      </w:r>
      <w:r w:rsidR="00E15906">
        <w:rPr>
          <w:lang w:val="en-US"/>
        </w:rPr>
        <w:t>PCS</w:t>
      </w:r>
      <w:r w:rsidRPr="001227B6">
        <w:rPr>
          <w:lang w:val="en-US"/>
        </w:rPr>
        <w:t xml:space="preserve"> are obtained that differ from those indicated in Table 7, amplification of the entire batch of samples must be repeated. If </w:t>
      </w:r>
      <w:r w:rsidR="00E15906">
        <w:rPr>
          <w:lang w:val="en-US"/>
        </w:rPr>
        <w:t>PCS</w:t>
      </w:r>
      <w:r w:rsidRPr="001227B6">
        <w:rPr>
          <w:lang w:val="en-US"/>
        </w:rPr>
        <w:t xml:space="preserve"> values are repeatedly obtained that differ from those indicated in Table 7, it is necessary to replace the reagents.</w:t>
      </w:r>
    </w:p>
    <w:p w14:paraId="766B05D3" w14:textId="77777777" w:rsidR="00AC43DA" w:rsidRPr="001227B6" w:rsidRDefault="00AC43DA">
      <w:pPr>
        <w:pStyle w:val="a3"/>
        <w:spacing w:before="5"/>
        <w:ind w:left="0" w:firstLine="0"/>
        <w:jc w:val="left"/>
        <w:rPr>
          <w:lang w:val="en-US"/>
        </w:rPr>
      </w:pPr>
    </w:p>
    <w:p w14:paraId="02CB75EE" w14:textId="77777777" w:rsidR="00AC43DA" w:rsidRPr="001227B6" w:rsidRDefault="00303B2C">
      <w:pPr>
        <w:pStyle w:val="1"/>
        <w:ind w:left="328" w:right="350" w:firstLine="564"/>
        <w:rPr>
          <w:lang w:val="en-US"/>
        </w:rPr>
      </w:pPr>
      <w:r w:rsidRPr="001227B6">
        <w:rPr>
          <w:lang w:val="en-US"/>
        </w:rPr>
        <w:t>Interpretation of results in clinical samples studied</w:t>
      </w:r>
    </w:p>
    <w:p w14:paraId="5277CBC1" w14:textId="77777777" w:rsidR="00AC43DA" w:rsidRPr="001227B6" w:rsidRDefault="00303B2C">
      <w:pPr>
        <w:pStyle w:val="a3"/>
        <w:spacing w:line="269" w:lineRule="exact"/>
        <w:ind w:left="894" w:firstLine="0"/>
        <w:rPr>
          <w:lang w:val="en-US"/>
        </w:rPr>
      </w:pPr>
      <w:r w:rsidRPr="001227B6">
        <w:rPr>
          <w:lang w:val="en-US"/>
        </w:rPr>
        <w:t>The principles for interpreting the results are reflected in Table 8.</w:t>
      </w:r>
    </w:p>
    <w:p w14:paraId="58D08FF8" w14:textId="77A70FB8" w:rsidR="00AC43DA" w:rsidRPr="001227B6" w:rsidRDefault="00303B2C">
      <w:pPr>
        <w:pStyle w:val="a3"/>
        <w:spacing w:before="2"/>
        <w:ind w:right="344"/>
        <w:rPr>
          <w:lang w:val="en-US"/>
        </w:rPr>
      </w:pPr>
      <w:r w:rsidRPr="001227B6">
        <w:rPr>
          <w:lang w:val="en-US"/>
        </w:rPr>
        <w:t xml:space="preserve">If for a sample an increase in the fluorescence of a specific product is recorded through the FAM/Green, ROX/Orange or Cy5/Red channels before cycle 15 (Ct &lt; 15), then this indicates a high initial concentration of NA of the corresponding hepatitis virus. In this case, it is possible to obtain a false negative result for the hepatitis virus, the NA of which is present in low concentrations. To exclude false negative results, it is recommended to repeat RT-PCR/PCR of the isolated </w:t>
      </w:r>
      <w:r w:rsidR="005D71E3">
        <w:rPr>
          <w:lang w:val="en-US"/>
        </w:rPr>
        <w:t>NA</w:t>
      </w:r>
      <w:r w:rsidRPr="001227B6">
        <w:rPr>
          <w:lang w:val="en-US"/>
        </w:rPr>
        <w:t xml:space="preserve"> preparation or use reagent kits for separate detection of </w:t>
      </w:r>
      <w:r w:rsidR="005D71E3">
        <w:rPr>
          <w:lang w:val="en-US"/>
        </w:rPr>
        <w:t>NA</w:t>
      </w:r>
      <w:r w:rsidRPr="001227B6">
        <w:rPr>
          <w:lang w:val="en-US"/>
        </w:rPr>
        <w:t xml:space="preserve"> of the corresponding hepatitis.</w:t>
      </w:r>
    </w:p>
    <w:p w14:paraId="542FFA4E" w14:textId="77777777" w:rsidR="00AC43DA" w:rsidRPr="001227B6" w:rsidRDefault="00303B2C">
      <w:pPr>
        <w:pStyle w:val="a3"/>
        <w:spacing w:before="1"/>
        <w:ind w:right="346"/>
        <w:rPr>
          <w:lang w:val="en-US"/>
        </w:rPr>
      </w:pPr>
      <w:r w:rsidRPr="001227B6">
        <w:rPr>
          <w:lang w:val="en-US"/>
        </w:rPr>
        <w:t>The reason for obtaining an invalid result may be a low concentration of NA, the presence of inhibitors in the NA preparation obtained from clinical material, incorrect implementation of the analysis protocol, non-compliance with the RT-PCR temperature regime, etc.</w:t>
      </w:r>
    </w:p>
    <w:p w14:paraId="4FA25AAD" w14:textId="77777777" w:rsidR="00AC43DA" w:rsidRPr="001227B6" w:rsidRDefault="00303B2C">
      <w:pPr>
        <w:pStyle w:val="a3"/>
        <w:spacing w:before="1"/>
        <w:ind w:right="358"/>
        <w:rPr>
          <w:lang w:val="en-US"/>
        </w:rPr>
      </w:pPr>
      <w:r w:rsidRPr="001227B6">
        <w:rPr>
          <w:lang w:val="en-US"/>
        </w:rPr>
        <w:t>The reason for obtaining a questionable result may be a low concentration of the virus in the clinical sample.</w:t>
      </w:r>
    </w:p>
    <w:p w14:paraId="227D7E9C" w14:textId="77777777" w:rsidR="00AC43DA" w:rsidRPr="001227B6" w:rsidRDefault="00303B2C">
      <w:pPr>
        <w:pStyle w:val="a3"/>
        <w:ind w:right="343"/>
        <w:rPr>
          <w:lang w:val="en-US"/>
        </w:rPr>
      </w:pPr>
      <w:r w:rsidRPr="001227B6">
        <w:rPr>
          <w:lang w:val="en-US"/>
        </w:rPr>
        <w:t>In the case of an invalid and questionable result, a conclusion is not issued; it is necessary to re-take biomaterial from the patient and re-run the analysis. In this case, for doubtful results, it is recommended to isolate NC from a larger volume of plasma.</w:t>
      </w:r>
    </w:p>
    <w:p w14:paraId="436EDF65"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0F7CEC6D" w14:textId="77777777" w:rsidR="00AC43DA" w:rsidRPr="001227B6" w:rsidRDefault="00303B2C">
      <w:pPr>
        <w:pStyle w:val="a3"/>
        <w:spacing w:before="60" w:after="8"/>
        <w:ind w:right="347"/>
        <w:rPr>
          <w:lang w:val="en-US"/>
        </w:rPr>
      </w:pPr>
      <w:r w:rsidRPr="001227B6">
        <w:rPr>
          <w:lang w:val="en-US"/>
        </w:rPr>
        <w:lastRenderedPageBreak/>
        <w:t>Table 8 – Principle of interpretation of results in the studied clinical samples</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4"/>
        <w:gridCol w:w="889"/>
        <w:gridCol w:w="886"/>
        <w:gridCol w:w="886"/>
        <w:gridCol w:w="3541"/>
      </w:tblGrid>
      <w:tr w:rsidR="00AC43DA" w14:paraId="46A31537" w14:textId="77777777">
        <w:trPr>
          <w:trHeight w:val="690"/>
        </w:trPr>
        <w:tc>
          <w:tcPr>
            <w:tcW w:w="3545" w:type="dxa"/>
            <w:gridSpan w:val="4"/>
          </w:tcPr>
          <w:p w14:paraId="4686D70E" w14:textId="77777777" w:rsidR="00AC43DA" w:rsidRPr="001227B6" w:rsidRDefault="00303B2C">
            <w:pPr>
              <w:pStyle w:val="TableParagraph"/>
              <w:ind w:left="278" w:firstLine="38"/>
              <w:rPr>
                <w:sz w:val="20"/>
                <w:lang w:val="en-US"/>
              </w:rPr>
            </w:pPr>
            <w:r w:rsidRPr="001227B6">
              <w:rPr>
                <w:sz w:val="20"/>
                <w:lang w:val="en-US"/>
              </w:rPr>
              <w:t>Ct values ​​by detection channels,</w:t>
            </w:r>
          </w:p>
          <w:p w14:paraId="3DF51C89" w14:textId="77777777" w:rsidR="00AC43DA" w:rsidRPr="001227B6" w:rsidRDefault="00303B2C">
            <w:pPr>
              <w:pStyle w:val="TableParagraph"/>
              <w:spacing w:before="9" w:line="216" w:lineRule="exact"/>
              <w:ind w:left="273" w:right="248" w:firstLine="4"/>
              <w:rPr>
                <w:sz w:val="20"/>
                <w:lang w:val="en-US"/>
              </w:rPr>
            </w:pPr>
            <w:r w:rsidRPr="001227B6">
              <w:rPr>
                <w:sz w:val="20"/>
                <w:lang w:val="en-US"/>
              </w:rPr>
              <w:t>corresponding fluorophores (target analytes are indicated in parentheses)</w:t>
            </w:r>
          </w:p>
        </w:tc>
        <w:tc>
          <w:tcPr>
            <w:tcW w:w="3541" w:type="dxa"/>
            <w:vMerge w:val="restart"/>
          </w:tcPr>
          <w:p w14:paraId="7F54958C" w14:textId="77777777" w:rsidR="00AC43DA" w:rsidRPr="001227B6" w:rsidRDefault="00AC43DA">
            <w:pPr>
              <w:pStyle w:val="TableParagraph"/>
              <w:ind w:left="0"/>
              <w:rPr>
                <w:lang w:val="en-US"/>
              </w:rPr>
            </w:pPr>
          </w:p>
          <w:p w14:paraId="6AFA1DA2" w14:textId="77777777" w:rsidR="00AC43DA" w:rsidRPr="001227B6" w:rsidRDefault="00AC43DA">
            <w:pPr>
              <w:pStyle w:val="TableParagraph"/>
              <w:spacing w:before="10"/>
              <w:ind w:left="0"/>
              <w:rPr>
                <w:sz w:val="27"/>
                <w:lang w:val="en-US"/>
              </w:rPr>
            </w:pPr>
          </w:p>
          <w:p w14:paraId="184FC0C5" w14:textId="77777777" w:rsidR="00AC43DA" w:rsidRDefault="00303B2C">
            <w:pPr>
              <w:pStyle w:val="TableParagraph"/>
              <w:ind w:left="1331" w:right="1326"/>
              <w:jc w:val="center"/>
              <w:rPr>
                <w:sz w:val="20"/>
              </w:rPr>
            </w:pPr>
            <w:r>
              <w:rPr>
                <w:sz w:val="20"/>
              </w:rPr>
              <w:t>Result</w:t>
            </w:r>
          </w:p>
        </w:tc>
      </w:tr>
      <w:tr w:rsidR="00AC43DA" w14:paraId="102C9258" w14:textId="77777777">
        <w:trPr>
          <w:trHeight w:val="690"/>
        </w:trPr>
        <w:tc>
          <w:tcPr>
            <w:tcW w:w="884" w:type="dxa"/>
          </w:tcPr>
          <w:p w14:paraId="7971BC0A" w14:textId="77777777" w:rsidR="00AC43DA" w:rsidRDefault="00303B2C">
            <w:pPr>
              <w:pStyle w:val="TableParagraph"/>
              <w:spacing w:line="221" w:lineRule="exact"/>
              <w:ind w:left="177"/>
              <w:rPr>
                <w:sz w:val="20"/>
              </w:rPr>
            </w:pPr>
            <w:bookmarkStart w:id="14" w:name="_Hlk159318728"/>
            <w:r>
              <w:rPr>
                <w:sz w:val="20"/>
              </w:rPr>
              <w:t>FAM/</w:t>
            </w:r>
          </w:p>
          <w:p w14:paraId="1B47BC67" w14:textId="77777777" w:rsidR="00AC43DA" w:rsidRDefault="00303B2C">
            <w:pPr>
              <w:pStyle w:val="TableParagraph"/>
              <w:spacing w:line="230" w:lineRule="atLeast"/>
              <w:ind w:left="168" w:right="135" w:firstLine="31"/>
              <w:rPr>
                <w:sz w:val="20"/>
              </w:rPr>
            </w:pPr>
            <w:r>
              <w:rPr>
                <w:sz w:val="20"/>
              </w:rPr>
              <w:t>Green (HBV)</w:t>
            </w:r>
          </w:p>
        </w:tc>
        <w:tc>
          <w:tcPr>
            <w:tcW w:w="889" w:type="dxa"/>
          </w:tcPr>
          <w:p w14:paraId="2A137D22" w14:textId="77777777" w:rsidR="00AC43DA" w:rsidRDefault="00303B2C">
            <w:pPr>
              <w:pStyle w:val="TableParagraph"/>
              <w:spacing w:line="221" w:lineRule="exact"/>
              <w:ind w:left="184"/>
              <w:rPr>
                <w:sz w:val="20"/>
              </w:rPr>
            </w:pPr>
            <w:r>
              <w:rPr>
                <w:sz w:val="20"/>
              </w:rPr>
              <w:t>ROX/</w:t>
            </w:r>
          </w:p>
          <w:p w14:paraId="48B4404B" w14:textId="77777777" w:rsidR="00AC43DA" w:rsidRDefault="00303B2C">
            <w:pPr>
              <w:pStyle w:val="TableParagraph"/>
              <w:spacing w:line="230" w:lineRule="atLeast"/>
              <w:ind w:left="172" w:right="121" w:hanging="17"/>
              <w:rPr>
                <w:sz w:val="20"/>
              </w:rPr>
            </w:pPr>
            <w:r>
              <w:rPr>
                <w:spacing w:val="-1"/>
                <w:sz w:val="20"/>
              </w:rPr>
              <w:t>Orange</w:t>
            </w:r>
            <w:r>
              <w:rPr>
                <w:sz w:val="20"/>
              </w:rPr>
              <w:t>(HCV)</w:t>
            </w:r>
          </w:p>
        </w:tc>
        <w:tc>
          <w:tcPr>
            <w:tcW w:w="886" w:type="dxa"/>
          </w:tcPr>
          <w:p w14:paraId="461346E7" w14:textId="77777777" w:rsidR="00AC43DA" w:rsidRDefault="00303B2C">
            <w:pPr>
              <w:pStyle w:val="TableParagraph"/>
              <w:ind w:left="84" w:right="74"/>
              <w:jc w:val="center"/>
              <w:rPr>
                <w:sz w:val="20"/>
              </w:rPr>
            </w:pPr>
            <w:r>
              <w:rPr>
                <w:sz w:val="20"/>
              </w:rPr>
              <w:t>Cy5/</w:t>
            </w:r>
          </w:p>
          <w:p w14:paraId="6C93D499" w14:textId="77777777" w:rsidR="00AC43DA" w:rsidRDefault="00303B2C">
            <w:pPr>
              <w:pStyle w:val="TableParagraph"/>
              <w:spacing w:before="9" w:line="216" w:lineRule="exact"/>
              <w:ind w:left="84" w:right="74"/>
              <w:jc w:val="center"/>
              <w:rPr>
                <w:sz w:val="20"/>
              </w:rPr>
            </w:pPr>
            <w:r>
              <w:rPr>
                <w:sz w:val="20"/>
              </w:rPr>
              <w:t>Red (HDV)</w:t>
            </w:r>
          </w:p>
        </w:tc>
        <w:tc>
          <w:tcPr>
            <w:tcW w:w="886" w:type="dxa"/>
          </w:tcPr>
          <w:p w14:paraId="7E4FD2C3" w14:textId="77777777" w:rsidR="00AC43DA" w:rsidRDefault="00303B2C">
            <w:pPr>
              <w:pStyle w:val="TableParagraph"/>
              <w:spacing w:line="221" w:lineRule="exact"/>
              <w:ind w:left="185"/>
              <w:rPr>
                <w:sz w:val="20"/>
              </w:rPr>
            </w:pPr>
            <w:r>
              <w:rPr>
                <w:sz w:val="20"/>
              </w:rPr>
              <w:t>HEX/</w:t>
            </w:r>
          </w:p>
          <w:p w14:paraId="5755734E" w14:textId="454E6E81" w:rsidR="00AC43DA" w:rsidRDefault="00303B2C">
            <w:pPr>
              <w:pStyle w:val="TableParagraph"/>
              <w:spacing w:line="230" w:lineRule="atLeast"/>
              <w:ind w:left="171" w:right="118" w:hanging="22"/>
              <w:rPr>
                <w:sz w:val="20"/>
              </w:rPr>
            </w:pPr>
            <w:r>
              <w:rPr>
                <w:sz w:val="20"/>
              </w:rPr>
              <w:t>Yellow (</w:t>
            </w:r>
            <w:r w:rsidR="0038617A">
              <w:rPr>
                <w:sz w:val="20"/>
                <w:lang w:val="en-US"/>
              </w:rPr>
              <w:t>ICS</w:t>
            </w:r>
            <w:r>
              <w:rPr>
                <w:sz w:val="20"/>
              </w:rPr>
              <w:t>)</w:t>
            </w:r>
          </w:p>
        </w:tc>
        <w:tc>
          <w:tcPr>
            <w:tcW w:w="3541" w:type="dxa"/>
            <w:vMerge/>
            <w:tcBorders>
              <w:top w:val="nil"/>
            </w:tcBorders>
          </w:tcPr>
          <w:p w14:paraId="043569E8" w14:textId="77777777" w:rsidR="00AC43DA" w:rsidRDefault="00AC43DA">
            <w:pPr>
              <w:rPr>
                <w:sz w:val="2"/>
                <w:szCs w:val="2"/>
              </w:rPr>
            </w:pPr>
          </w:p>
        </w:tc>
      </w:tr>
      <w:bookmarkEnd w:id="14"/>
      <w:tr w:rsidR="00AC43DA" w:rsidRPr="00E15906" w14:paraId="3411B8BA" w14:textId="77777777">
        <w:trPr>
          <w:trHeight w:val="457"/>
        </w:trPr>
        <w:tc>
          <w:tcPr>
            <w:tcW w:w="884" w:type="dxa"/>
          </w:tcPr>
          <w:p w14:paraId="18F70221" w14:textId="77777777" w:rsidR="00AC43DA" w:rsidRDefault="00303B2C">
            <w:pPr>
              <w:pStyle w:val="TableParagraph"/>
              <w:spacing w:before="106"/>
              <w:ind w:left="391"/>
              <w:rPr>
                <w:rFonts w:ascii="Symbol" w:hAnsi="Symbol"/>
                <w:sz w:val="20"/>
              </w:rPr>
            </w:pPr>
            <w:r>
              <w:rPr>
                <w:rFonts w:ascii="Symbol" w:hAnsi="Symbol"/>
                <w:w w:val="97"/>
                <w:sz w:val="20"/>
              </w:rPr>
              <w:t>-</w:t>
            </w:r>
          </w:p>
        </w:tc>
        <w:tc>
          <w:tcPr>
            <w:tcW w:w="889" w:type="dxa"/>
          </w:tcPr>
          <w:p w14:paraId="57195C64" w14:textId="77777777" w:rsidR="00AC43DA" w:rsidRDefault="00303B2C">
            <w:pPr>
              <w:pStyle w:val="TableParagraph"/>
              <w:spacing w:before="106"/>
              <w:ind w:left="393"/>
              <w:rPr>
                <w:rFonts w:ascii="Symbol" w:hAnsi="Symbol"/>
                <w:sz w:val="20"/>
              </w:rPr>
            </w:pPr>
            <w:r>
              <w:rPr>
                <w:rFonts w:ascii="Symbol" w:hAnsi="Symbol"/>
                <w:w w:val="97"/>
                <w:sz w:val="20"/>
              </w:rPr>
              <w:t>-</w:t>
            </w:r>
          </w:p>
        </w:tc>
        <w:tc>
          <w:tcPr>
            <w:tcW w:w="886" w:type="dxa"/>
          </w:tcPr>
          <w:p w14:paraId="02FA4F35" w14:textId="77777777" w:rsidR="00AC43DA" w:rsidRDefault="00303B2C">
            <w:pPr>
              <w:pStyle w:val="TableParagraph"/>
              <w:spacing w:before="106"/>
              <w:ind w:left="6"/>
              <w:jc w:val="center"/>
              <w:rPr>
                <w:rFonts w:ascii="Symbol" w:hAnsi="Symbol"/>
                <w:sz w:val="20"/>
              </w:rPr>
            </w:pPr>
            <w:r>
              <w:rPr>
                <w:rFonts w:ascii="Symbol" w:hAnsi="Symbol"/>
                <w:w w:val="97"/>
                <w:sz w:val="20"/>
              </w:rPr>
              <w:t>-</w:t>
            </w:r>
          </w:p>
        </w:tc>
        <w:tc>
          <w:tcPr>
            <w:tcW w:w="886" w:type="dxa"/>
          </w:tcPr>
          <w:p w14:paraId="57BD66CA" w14:textId="77777777" w:rsidR="00AC43DA" w:rsidRDefault="00303B2C">
            <w:pPr>
              <w:pStyle w:val="TableParagraph"/>
              <w:spacing w:before="108"/>
              <w:ind w:left="0" w:right="250"/>
              <w:jc w:val="right"/>
              <w:rPr>
                <w:sz w:val="20"/>
              </w:rPr>
            </w:pPr>
            <w:r>
              <w:rPr>
                <w:sz w:val="20"/>
              </w:rPr>
              <w:t>≤ 32</w:t>
            </w:r>
          </w:p>
        </w:tc>
        <w:tc>
          <w:tcPr>
            <w:tcW w:w="3541" w:type="dxa"/>
          </w:tcPr>
          <w:p w14:paraId="181D389E" w14:textId="75C52428" w:rsidR="00AC43DA" w:rsidRPr="001227B6" w:rsidRDefault="005D71E3">
            <w:pPr>
              <w:pStyle w:val="TableParagraph"/>
              <w:spacing w:line="228" w:lineRule="auto"/>
              <w:ind w:left="109" w:right="506"/>
              <w:rPr>
                <w:sz w:val="20"/>
                <w:lang w:val="en-US"/>
              </w:rPr>
            </w:pPr>
            <w:r>
              <w:rPr>
                <w:sz w:val="20"/>
                <w:lang w:val="en-US"/>
              </w:rPr>
              <w:t>NA</w:t>
            </w:r>
            <w:r w:rsidR="00303B2C" w:rsidRPr="001227B6">
              <w:rPr>
                <w:sz w:val="20"/>
                <w:lang w:val="en-US"/>
              </w:rPr>
              <w:t xml:space="preserve"> of hepatitis B, C and D viruses was not detected</w:t>
            </w:r>
          </w:p>
        </w:tc>
      </w:tr>
      <w:tr w:rsidR="00AC43DA" w14:paraId="3DFA95D0" w14:textId="77777777">
        <w:trPr>
          <w:trHeight w:val="458"/>
        </w:trPr>
        <w:tc>
          <w:tcPr>
            <w:tcW w:w="884" w:type="dxa"/>
          </w:tcPr>
          <w:p w14:paraId="26E87B4F" w14:textId="77777777" w:rsidR="00AC43DA" w:rsidRDefault="00303B2C">
            <w:pPr>
              <w:pStyle w:val="TableParagraph"/>
              <w:spacing w:before="108"/>
              <w:ind w:left="391"/>
              <w:rPr>
                <w:rFonts w:ascii="Symbol" w:hAnsi="Symbol"/>
                <w:sz w:val="20"/>
              </w:rPr>
            </w:pPr>
            <w:r>
              <w:rPr>
                <w:rFonts w:ascii="Symbol" w:hAnsi="Symbol"/>
                <w:w w:val="97"/>
                <w:sz w:val="20"/>
              </w:rPr>
              <w:t>-</w:t>
            </w:r>
          </w:p>
        </w:tc>
        <w:tc>
          <w:tcPr>
            <w:tcW w:w="889" w:type="dxa"/>
          </w:tcPr>
          <w:p w14:paraId="3FCF40F8" w14:textId="77777777" w:rsidR="00AC43DA" w:rsidRDefault="00303B2C">
            <w:pPr>
              <w:pStyle w:val="TableParagraph"/>
              <w:spacing w:before="108"/>
              <w:ind w:left="393"/>
              <w:rPr>
                <w:rFonts w:ascii="Symbol" w:hAnsi="Symbol"/>
                <w:sz w:val="20"/>
              </w:rPr>
            </w:pPr>
            <w:r>
              <w:rPr>
                <w:rFonts w:ascii="Symbol" w:hAnsi="Symbol"/>
                <w:w w:val="97"/>
                <w:sz w:val="20"/>
              </w:rPr>
              <w:t>-</w:t>
            </w:r>
          </w:p>
        </w:tc>
        <w:tc>
          <w:tcPr>
            <w:tcW w:w="886" w:type="dxa"/>
          </w:tcPr>
          <w:p w14:paraId="0CFC3793" w14:textId="77777777" w:rsidR="00AC43DA" w:rsidRDefault="00303B2C">
            <w:pPr>
              <w:pStyle w:val="TableParagraph"/>
              <w:spacing w:before="108"/>
              <w:ind w:left="6"/>
              <w:jc w:val="center"/>
              <w:rPr>
                <w:rFonts w:ascii="Symbol" w:hAnsi="Symbol"/>
                <w:sz w:val="20"/>
              </w:rPr>
            </w:pPr>
            <w:r>
              <w:rPr>
                <w:rFonts w:ascii="Symbol" w:hAnsi="Symbol"/>
                <w:w w:val="97"/>
                <w:sz w:val="20"/>
              </w:rPr>
              <w:t>-</w:t>
            </w:r>
          </w:p>
        </w:tc>
        <w:tc>
          <w:tcPr>
            <w:tcW w:w="886" w:type="dxa"/>
          </w:tcPr>
          <w:p w14:paraId="42ECAED6" w14:textId="77777777" w:rsidR="00AC43DA" w:rsidRDefault="00303B2C">
            <w:pPr>
              <w:pStyle w:val="TableParagraph"/>
              <w:spacing w:before="108"/>
              <w:ind w:left="0" w:right="246"/>
              <w:jc w:val="right"/>
              <w:rPr>
                <w:sz w:val="20"/>
              </w:rPr>
            </w:pPr>
            <w:r>
              <w:rPr>
                <w:sz w:val="20"/>
              </w:rPr>
              <w:t>&gt; 32</w:t>
            </w:r>
          </w:p>
        </w:tc>
        <w:tc>
          <w:tcPr>
            <w:tcW w:w="3541" w:type="dxa"/>
          </w:tcPr>
          <w:p w14:paraId="0CFC1692" w14:textId="77777777" w:rsidR="00AC43DA" w:rsidRDefault="00303B2C">
            <w:pPr>
              <w:pStyle w:val="TableParagraph"/>
              <w:spacing w:before="108"/>
              <w:ind w:left="109"/>
              <w:rPr>
                <w:sz w:val="20"/>
              </w:rPr>
            </w:pPr>
            <w:r>
              <w:rPr>
                <w:sz w:val="20"/>
              </w:rPr>
              <w:t>the result is invalid</w:t>
            </w:r>
          </w:p>
        </w:tc>
      </w:tr>
      <w:tr w:rsidR="00AC43DA" w:rsidRPr="00E15906" w14:paraId="20FE0CB4" w14:textId="77777777">
        <w:trPr>
          <w:trHeight w:val="460"/>
        </w:trPr>
        <w:tc>
          <w:tcPr>
            <w:tcW w:w="2659" w:type="dxa"/>
            <w:gridSpan w:val="3"/>
          </w:tcPr>
          <w:p w14:paraId="51521DEF" w14:textId="77777777" w:rsidR="00AC43DA" w:rsidRDefault="00303B2C">
            <w:pPr>
              <w:pStyle w:val="TableParagraph"/>
              <w:spacing w:before="108"/>
              <w:ind w:left="1130" w:right="1113"/>
              <w:jc w:val="center"/>
              <w:rPr>
                <w:sz w:val="20"/>
              </w:rPr>
            </w:pPr>
            <w:r>
              <w:rPr>
                <w:sz w:val="20"/>
              </w:rPr>
              <w:t>≤ 35</w:t>
            </w:r>
          </w:p>
        </w:tc>
        <w:tc>
          <w:tcPr>
            <w:tcW w:w="886" w:type="dxa"/>
          </w:tcPr>
          <w:p w14:paraId="56533DB4" w14:textId="7017A95F" w:rsidR="00AC43DA" w:rsidRDefault="00C50798" w:rsidP="00C50798">
            <w:pPr>
              <w:pStyle w:val="TableParagraph"/>
              <w:spacing w:before="108"/>
              <w:ind w:left="0" w:right="182"/>
              <w:jc w:val="center"/>
              <w:rPr>
                <w:sz w:val="20"/>
              </w:rPr>
            </w:pPr>
            <w:r w:rsidRPr="00C50798">
              <w:rPr>
                <w:sz w:val="20"/>
              </w:rPr>
              <w:t>not counted</w:t>
            </w:r>
          </w:p>
        </w:tc>
        <w:tc>
          <w:tcPr>
            <w:tcW w:w="3541" w:type="dxa"/>
          </w:tcPr>
          <w:p w14:paraId="52730119" w14:textId="138C5A88" w:rsidR="00AC43DA" w:rsidRPr="001227B6" w:rsidRDefault="00303B2C">
            <w:pPr>
              <w:pStyle w:val="TableParagraph"/>
              <w:spacing w:before="2" w:line="228" w:lineRule="auto"/>
              <w:ind w:left="109" w:right="1281"/>
              <w:rPr>
                <w:sz w:val="20"/>
                <w:lang w:val="en-US"/>
              </w:rPr>
            </w:pPr>
            <w:r w:rsidRPr="001227B6">
              <w:rPr>
                <w:sz w:val="20"/>
                <w:lang w:val="en-US"/>
              </w:rPr>
              <w:t>Virus N</w:t>
            </w:r>
            <w:r w:rsidR="003D5103">
              <w:rPr>
                <w:sz w:val="20"/>
                <w:lang w:val="en-US"/>
              </w:rPr>
              <w:t>A</w:t>
            </w:r>
            <w:r w:rsidRPr="001227B6">
              <w:rPr>
                <w:sz w:val="20"/>
                <w:lang w:val="en-US"/>
              </w:rPr>
              <w:t xml:space="preserve"> corresponding to the channel was detected</w:t>
            </w:r>
          </w:p>
        </w:tc>
      </w:tr>
      <w:tr w:rsidR="00AC43DA" w:rsidRPr="00E15906" w14:paraId="701BC88B" w14:textId="77777777">
        <w:trPr>
          <w:trHeight w:val="460"/>
        </w:trPr>
        <w:tc>
          <w:tcPr>
            <w:tcW w:w="2659" w:type="dxa"/>
            <w:gridSpan w:val="3"/>
          </w:tcPr>
          <w:p w14:paraId="4D3A0917" w14:textId="77777777" w:rsidR="00AC43DA" w:rsidRDefault="00303B2C">
            <w:pPr>
              <w:pStyle w:val="TableParagraph"/>
              <w:spacing w:before="108"/>
              <w:ind w:left="1128" w:right="1115"/>
              <w:jc w:val="center"/>
              <w:rPr>
                <w:sz w:val="20"/>
              </w:rPr>
            </w:pPr>
            <w:r>
              <w:rPr>
                <w:sz w:val="20"/>
              </w:rPr>
              <w:t>&gt; 35</w:t>
            </w:r>
          </w:p>
        </w:tc>
        <w:tc>
          <w:tcPr>
            <w:tcW w:w="886" w:type="dxa"/>
          </w:tcPr>
          <w:p w14:paraId="467B9DEF" w14:textId="20CD6E48" w:rsidR="00AC43DA" w:rsidRDefault="00C50798" w:rsidP="00C50798">
            <w:pPr>
              <w:pStyle w:val="TableParagraph"/>
              <w:spacing w:before="108"/>
              <w:ind w:left="0" w:right="182"/>
              <w:jc w:val="center"/>
              <w:rPr>
                <w:sz w:val="20"/>
              </w:rPr>
            </w:pPr>
            <w:r w:rsidRPr="00C50798">
              <w:rPr>
                <w:sz w:val="20"/>
              </w:rPr>
              <w:t>not counted</w:t>
            </w:r>
          </w:p>
        </w:tc>
        <w:tc>
          <w:tcPr>
            <w:tcW w:w="3541" w:type="dxa"/>
          </w:tcPr>
          <w:p w14:paraId="0F66A6DB" w14:textId="77777777" w:rsidR="00AC43DA" w:rsidRPr="001227B6" w:rsidRDefault="00303B2C">
            <w:pPr>
              <w:pStyle w:val="TableParagraph"/>
              <w:spacing w:line="228" w:lineRule="auto"/>
              <w:ind w:left="109" w:right="477"/>
              <w:rPr>
                <w:sz w:val="20"/>
                <w:lang w:val="en-US"/>
              </w:rPr>
            </w:pPr>
            <w:r w:rsidRPr="001227B6">
              <w:rPr>
                <w:sz w:val="20"/>
                <w:lang w:val="en-US"/>
              </w:rPr>
              <w:t>test result is questionable for the target corresponding to the channel</w:t>
            </w:r>
          </w:p>
        </w:tc>
      </w:tr>
    </w:tbl>
    <w:p w14:paraId="74E9640B" w14:textId="3A062D25" w:rsidR="00AC43DA" w:rsidRPr="001227B6" w:rsidRDefault="00303B2C">
      <w:pPr>
        <w:spacing w:line="237" w:lineRule="auto"/>
        <w:ind w:left="328" w:right="863"/>
        <w:rPr>
          <w:sz w:val="20"/>
          <w:lang w:val="en-US"/>
        </w:rPr>
      </w:pPr>
      <w:r w:rsidRPr="001227B6">
        <w:rPr>
          <w:sz w:val="20"/>
          <w:lang w:val="en-US"/>
        </w:rPr>
        <w:t>Designations: “not accounted for.” – the result is not taken into account during interpretation; “</w:t>
      </w:r>
      <w:r w:rsidR="00C50798">
        <w:rPr>
          <w:sz w:val="20"/>
          <w:lang w:val="en-US"/>
        </w:rPr>
        <w:t>-</w:t>
      </w:r>
      <w:r w:rsidRPr="001227B6">
        <w:rPr>
          <w:sz w:val="20"/>
          <w:lang w:val="en-US"/>
        </w:rPr>
        <w:t>” – there is no fluorescence signal.</w:t>
      </w:r>
    </w:p>
    <w:p w14:paraId="38AFFB66" w14:textId="77777777" w:rsidR="00AC43DA" w:rsidRPr="001227B6" w:rsidRDefault="00AC43DA">
      <w:pPr>
        <w:pStyle w:val="a3"/>
        <w:spacing w:before="6"/>
        <w:ind w:left="0" w:firstLine="0"/>
        <w:jc w:val="left"/>
        <w:rPr>
          <w:sz w:val="23"/>
          <w:lang w:val="en-US"/>
        </w:rPr>
      </w:pPr>
    </w:p>
    <w:p w14:paraId="524C4634" w14:textId="77777777" w:rsidR="00AC43DA" w:rsidRPr="001227B6" w:rsidRDefault="00303B2C">
      <w:pPr>
        <w:pStyle w:val="a3"/>
        <w:ind w:right="345"/>
        <w:rPr>
          <w:lang w:val="en-US"/>
        </w:rPr>
      </w:pPr>
      <w:r w:rsidRPr="001227B6">
        <w:rPr>
          <w:lang w:val="en-US"/>
        </w:rPr>
        <w:t>If a questionable result is repeated, repeat the test using a set of reagents from another manufacturer or another method.</w:t>
      </w:r>
    </w:p>
    <w:p w14:paraId="532E240A" w14:textId="77777777" w:rsidR="00AC43DA" w:rsidRPr="001227B6" w:rsidRDefault="00303B2C">
      <w:pPr>
        <w:pStyle w:val="1"/>
        <w:numPr>
          <w:ilvl w:val="1"/>
          <w:numId w:val="1"/>
        </w:numPr>
        <w:tabs>
          <w:tab w:val="left" w:pos="1008"/>
        </w:tabs>
        <w:spacing w:before="77"/>
        <w:ind w:left="2925" w:right="688" w:hanging="2279"/>
        <w:jc w:val="both"/>
        <w:rPr>
          <w:lang w:val="en-US"/>
        </w:rPr>
      </w:pPr>
      <w:bookmarkStart w:id="15" w:name="_bookmark12"/>
      <w:bookmarkEnd w:id="15"/>
      <w:r w:rsidRPr="001227B6">
        <w:rPr>
          <w:lang w:val="en-US"/>
        </w:rPr>
        <w:t>Conditions for storage, transportation and operation of the reagent kit</w:t>
      </w:r>
    </w:p>
    <w:p w14:paraId="2C2963BC" w14:textId="77777777" w:rsidR="00AC43DA" w:rsidRPr="001227B6" w:rsidRDefault="00303B2C">
      <w:pPr>
        <w:spacing w:line="272" w:lineRule="exact"/>
        <w:ind w:left="894"/>
        <w:rPr>
          <w:b/>
          <w:sz w:val="24"/>
          <w:lang w:val="en-US"/>
        </w:rPr>
      </w:pPr>
      <w:r w:rsidRPr="001227B6">
        <w:rPr>
          <w:b/>
          <w:sz w:val="24"/>
          <w:lang w:val="en-US"/>
        </w:rPr>
        <w:t>Storage</w:t>
      </w:r>
    </w:p>
    <w:p w14:paraId="4AE3DD71" w14:textId="77777777" w:rsidR="00AC43DA" w:rsidRPr="001227B6" w:rsidRDefault="00303B2C">
      <w:pPr>
        <w:pStyle w:val="a3"/>
        <w:spacing w:before="2"/>
        <w:ind w:right="342"/>
        <w:rPr>
          <w:lang w:val="en-US"/>
        </w:rPr>
      </w:pPr>
      <w:r w:rsidRPr="001227B6">
        <w:rPr>
          <w:lang w:val="en-US"/>
        </w:rPr>
        <w:t>The “HEPA-BCD-test” reagent kit in the manufacturer’s packaging should be stored at a temperature from minus 18 to minus 22 °C throughout the entire shelf life of the kit; storage at a temperature from 2 to 8 °C is allowed for no more than 30 days.</w:t>
      </w:r>
    </w:p>
    <w:p w14:paraId="22B31018" w14:textId="77777777" w:rsidR="00AC43DA" w:rsidRPr="001227B6" w:rsidRDefault="00303B2C">
      <w:pPr>
        <w:pStyle w:val="a3"/>
        <w:spacing w:before="1"/>
        <w:ind w:right="375"/>
        <w:rPr>
          <w:lang w:val="en-US"/>
        </w:rPr>
      </w:pPr>
      <w:r w:rsidRPr="001227B6">
        <w:rPr>
          <w:lang w:val="en-US"/>
        </w:rPr>
        <w:t>Freezing/thawing of the HEPA-BCD test kit is allowed no more than 10 times.</w:t>
      </w:r>
    </w:p>
    <w:p w14:paraId="4A7D2C9A" w14:textId="77777777" w:rsidR="00AC43DA" w:rsidRPr="001227B6" w:rsidRDefault="00303B2C">
      <w:pPr>
        <w:pStyle w:val="a3"/>
        <w:ind w:right="386"/>
        <w:rPr>
          <w:lang w:val="en-US"/>
        </w:rPr>
      </w:pPr>
      <w:r w:rsidRPr="001227B6">
        <w:rPr>
          <w:lang w:val="en-US"/>
        </w:rPr>
        <w:t>After opening, store under the same conditions as the reagents before opening.</w:t>
      </w:r>
    </w:p>
    <w:p w14:paraId="3F24FF84" w14:textId="77777777" w:rsidR="00AC43DA" w:rsidRPr="001227B6" w:rsidRDefault="00303B2C">
      <w:pPr>
        <w:pStyle w:val="a3"/>
        <w:ind w:right="363"/>
        <w:rPr>
          <w:lang w:val="en-US"/>
        </w:rPr>
      </w:pPr>
      <w:r w:rsidRPr="001227B6">
        <w:rPr>
          <w:lang w:val="en-US"/>
        </w:rPr>
        <w:t>A set of reagents stored in violation of the regulated regime cannot be used.</w:t>
      </w:r>
    </w:p>
    <w:p w14:paraId="096B3031" w14:textId="77777777" w:rsidR="00AC43DA" w:rsidRPr="001227B6" w:rsidRDefault="00303B2C">
      <w:pPr>
        <w:pStyle w:val="1"/>
        <w:spacing w:line="274" w:lineRule="exact"/>
        <w:jc w:val="left"/>
        <w:rPr>
          <w:lang w:val="en-US"/>
        </w:rPr>
      </w:pPr>
      <w:r w:rsidRPr="001227B6">
        <w:rPr>
          <w:lang w:val="en-US"/>
        </w:rPr>
        <w:t>Transportation</w:t>
      </w:r>
    </w:p>
    <w:p w14:paraId="702474FB" w14:textId="77777777" w:rsidR="00AC43DA" w:rsidRPr="001227B6" w:rsidRDefault="00303B2C">
      <w:pPr>
        <w:pStyle w:val="a3"/>
        <w:spacing w:before="5"/>
        <w:ind w:right="347"/>
        <w:rPr>
          <w:lang w:val="en-US"/>
        </w:rPr>
      </w:pPr>
      <w:r w:rsidRPr="001227B6">
        <w:rPr>
          <w:lang w:val="en-US"/>
        </w:rPr>
        <w:t>The “HEPA-BCD-test” reagent kit should be transported by all types of transport in covered vehicles in accordance with the transportation rules in force for this type of transport.</w:t>
      </w:r>
    </w:p>
    <w:p w14:paraId="41A8AF54" w14:textId="77777777" w:rsidR="00AC43DA" w:rsidRPr="001227B6" w:rsidRDefault="00AC43DA">
      <w:pPr>
        <w:rPr>
          <w:lang w:val="en-US"/>
        </w:rPr>
        <w:sectPr w:rsidR="00AC43DA" w:rsidRPr="001227B6">
          <w:pgSz w:w="8400" w:h="11920"/>
          <w:pgMar w:top="480" w:right="240" w:bottom="640" w:left="380" w:header="0" w:footer="378" w:gutter="0"/>
          <w:cols w:space="720"/>
        </w:sectPr>
      </w:pPr>
    </w:p>
    <w:p w14:paraId="61B38AB2" w14:textId="6D8EB615" w:rsidR="00AC43DA" w:rsidRPr="001227B6" w:rsidRDefault="00303B2C" w:rsidP="00C50798">
      <w:pPr>
        <w:pStyle w:val="a3"/>
        <w:spacing w:before="68"/>
        <w:ind w:left="894" w:firstLine="0"/>
        <w:rPr>
          <w:lang w:val="en-US"/>
        </w:rPr>
      </w:pPr>
      <w:bookmarkStart w:id="16" w:name="_bookmark13"/>
      <w:bookmarkEnd w:id="16"/>
      <w:r w:rsidRPr="001227B6">
        <w:rPr>
          <w:lang w:val="en-US"/>
        </w:rPr>
        <w:lastRenderedPageBreak/>
        <w:t>Transport at temperatures from minus 18 to minus 22</w:t>
      </w:r>
      <w:r w:rsidR="00C50798">
        <w:rPr>
          <w:lang w:val="en-US"/>
        </w:rPr>
        <w:t xml:space="preserve"> </w:t>
      </w:r>
      <w:r w:rsidRPr="001227B6">
        <w:rPr>
          <w:lang w:val="en-US"/>
        </w:rPr>
        <w:t>°C during the entire shelf life of the kit. Transportation is allowed at temperatures from 2 to 8 °C for up to 30 days, or at temperatures from 15 to 25 °C for no more than 5 days.</w:t>
      </w:r>
    </w:p>
    <w:p w14:paraId="3FDCAD99" w14:textId="77777777" w:rsidR="00AC43DA" w:rsidRPr="001227B6" w:rsidRDefault="00303B2C">
      <w:pPr>
        <w:pStyle w:val="a3"/>
        <w:ind w:right="347"/>
        <w:rPr>
          <w:lang w:val="en-US"/>
        </w:rPr>
      </w:pPr>
      <w:r w:rsidRPr="001227B6">
        <w:rPr>
          <w:lang w:val="en-US"/>
        </w:rPr>
        <w:t>Atmospheric pressure is not controlled, as it does not affect the quality of the product.</w:t>
      </w:r>
    </w:p>
    <w:p w14:paraId="0FFCA5BF" w14:textId="77777777" w:rsidR="00AC43DA" w:rsidRPr="001227B6" w:rsidRDefault="00303B2C">
      <w:pPr>
        <w:pStyle w:val="a3"/>
        <w:ind w:right="345"/>
        <w:rPr>
          <w:lang w:val="en-US"/>
        </w:rPr>
      </w:pPr>
      <w:r w:rsidRPr="001227B6">
        <w:rPr>
          <w:lang w:val="en-US"/>
        </w:rPr>
        <w:t>To ensure compliance with transportation conditions throughout the entire transportation period, the set of reagents is placed in a reusable polyurethane foam thermal container for temporary storage and transportation with prepared cold elements. The type, volume and quantity of cold elements placed in a thermal container with transported reagent kits, as well as the volume of the thermal container, are selected depending on the duration and conditions of transportation.</w:t>
      </w:r>
    </w:p>
    <w:p w14:paraId="6A6F37B9" w14:textId="77777777" w:rsidR="00AC43DA" w:rsidRPr="001227B6" w:rsidRDefault="00303B2C">
      <w:pPr>
        <w:pStyle w:val="a3"/>
        <w:spacing w:before="1"/>
        <w:ind w:right="353"/>
        <w:rPr>
          <w:lang w:val="en-US"/>
        </w:rPr>
      </w:pPr>
      <w:r w:rsidRPr="001227B6">
        <w:rPr>
          <w:lang w:val="en-US"/>
        </w:rPr>
        <w:t>Reagent kits transported in violation of the temperature regime cannot be used.</w:t>
      </w:r>
    </w:p>
    <w:p w14:paraId="47B99BE8" w14:textId="77777777" w:rsidR="00AC43DA" w:rsidRPr="001227B6" w:rsidRDefault="00303B2C">
      <w:pPr>
        <w:pStyle w:val="1"/>
        <w:rPr>
          <w:lang w:val="en-US"/>
        </w:rPr>
      </w:pPr>
      <w:r w:rsidRPr="001227B6">
        <w:rPr>
          <w:lang w:val="en-US"/>
        </w:rPr>
        <w:t>Best before date</w:t>
      </w:r>
    </w:p>
    <w:p w14:paraId="369EFC1B" w14:textId="77777777" w:rsidR="00AC43DA" w:rsidRPr="001227B6" w:rsidRDefault="00303B2C">
      <w:pPr>
        <w:pStyle w:val="a3"/>
        <w:spacing w:before="3"/>
        <w:ind w:right="345"/>
        <w:rPr>
          <w:lang w:val="en-US"/>
        </w:rPr>
      </w:pPr>
      <w:r w:rsidRPr="001227B6">
        <w:rPr>
          <w:lang w:val="en-US"/>
        </w:rPr>
        <w:t>The shelf life of the “HEPA-BCD-test” reagent kit is 12 months from the date of acceptance by the manufacturer’s quality control department, subject to all conditions of transportation, storage and operation. Expired reagent kits cannot be used.</w:t>
      </w:r>
    </w:p>
    <w:p w14:paraId="0C3A7612" w14:textId="77777777" w:rsidR="00AC43DA" w:rsidRPr="001227B6" w:rsidRDefault="00303B2C">
      <w:pPr>
        <w:pStyle w:val="1"/>
        <w:rPr>
          <w:lang w:val="en-US"/>
        </w:rPr>
      </w:pPr>
      <w:r w:rsidRPr="001227B6">
        <w:rPr>
          <w:lang w:val="en-US"/>
        </w:rPr>
        <w:t>Shelf life of opened kit components</w:t>
      </w:r>
    </w:p>
    <w:p w14:paraId="39D05759" w14:textId="77777777" w:rsidR="00AC43DA" w:rsidRPr="001227B6" w:rsidRDefault="00303B2C">
      <w:pPr>
        <w:pStyle w:val="a3"/>
        <w:spacing w:before="2"/>
        <w:ind w:right="344"/>
        <w:rPr>
          <w:lang w:val="en-US"/>
        </w:rPr>
      </w:pPr>
      <w:r w:rsidRPr="001227B6">
        <w:rPr>
          <w:lang w:val="en-US"/>
        </w:rPr>
        <w:t>12 months from the date of acceptance by the manufacturer’s quality control department, subject to storage at a temperature from minus 18 to minus 22 ° C.</w:t>
      </w:r>
    </w:p>
    <w:p w14:paraId="08B3BDC3" w14:textId="77777777" w:rsidR="00AC43DA" w:rsidRPr="001227B6" w:rsidRDefault="00303B2C">
      <w:pPr>
        <w:pStyle w:val="1"/>
        <w:spacing w:before="3"/>
        <w:ind w:left="328" w:right="349" w:firstLine="564"/>
        <w:rPr>
          <w:lang w:val="en-US"/>
        </w:rPr>
      </w:pPr>
      <w:r w:rsidRPr="001227B6">
        <w:rPr>
          <w:lang w:val="en-US"/>
        </w:rPr>
        <w:t>Shelf life of kit components prepared for use</w:t>
      </w:r>
    </w:p>
    <w:p w14:paraId="72839FCE" w14:textId="77777777" w:rsidR="00AC43DA" w:rsidRPr="001227B6" w:rsidRDefault="00303B2C">
      <w:pPr>
        <w:pStyle w:val="a3"/>
        <w:ind w:right="345"/>
        <w:rPr>
          <w:lang w:val="en-US"/>
        </w:rPr>
      </w:pPr>
      <w:r w:rsidRPr="001227B6">
        <w:rPr>
          <w:lang w:val="en-US"/>
        </w:rPr>
        <w:t>One hour, subject to conditions that prevent the components from drying out, as well as contamination with foreign biological material.</w:t>
      </w:r>
    </w:p>
    <w:p w14:paraId="3E9683FE" w14:textId="77777777" w:rsidR="00AC43DA" w:rsidRPr="001227B6" w:rsidRDefault="00AC43DA">
      <w:pPr>
        <w:rPr>
          <w:lang w:val="en-US"/>
        </w:rPr>
        <w:sectPr w:rsidR="00AC43DA" w:rsidRPr="001227B6">
          <w:pgSz w:w="8400" w:h="11920"/>
          <w:pgMar w:top="400" w:right="240" w:bottom="640" w:left="380" w:header="0" w:footer="378" w:gutter="0"/>
          <w:cols w:space="720"/>
        </w:sectPr>
      </w:pPr>
    </w:p>
    <w:p w14:paraId="2F527F51" w14:textId="77777777" w:rsidR="00AC43DA" w:rsidRDefault="00303B2C">
      <w:pPr>
        <w:pStyle w:val="1"/>
        <w:numPr>
          <w:ilvl w:val="1"/>
          <w:numId w:val="1"/>
        </w:numPr>
        <w:tabs>
          <w:tab w:val="left" w:pos="3389"/>
        </w:tabs>
        <w:spacing w:before="63"/>
        <w:ind w:left="3389"/>
        <w:jc w:val="both"/>
      </w:pPr>
      <w:bookmarkStart w:id="17" w:name="_bookmark14"/>
      <w:bookmarkEnd w:id="17"/>
      <w:r>
        <w:lastRenderedPageBreak/>
        <w:t>Disposal</w:t>
      </w:r>
    </w:p>
    <w:p w14:paraId="0AEB0A50" w14:textId="77777777" w:rsidR="00AC43DA" w:rsidRPr="001227B6" w:rsidRDefault="00303B2C">
      <w:pPr>
        <w:pStyle w:val="a3"/>
        <w:spacing w:before="2"/>
        <w:ind w:right="340"/>
        <w:rPr>
          <w:lang w:val="en-US"/>
        </w:rPr>
      </w:pPr>
      <w:r w:rsidRPr="001227B6">
        <w:rPr>
          <w:lang w:val="en-US"/>
        </w:rPr>
        <w:t>Reagent kits that have become unusable, including due to the expiration date, must be disposed of in accordance with the requirements of SanPiN 2.1.3684-21 “Sanitary and epidemiological requirements for the maintenance of territories of urban and rural settlements, for water bodies, drinking water and drinking water”. water supply, atmospheric air, soil, residential premises, operation of industrial and public premises, organization and implementation of sanitary and anti-epidemic (preventive) measures.”</w:t>
      </w:r>
    </w:p>
    <w:p w14:paraId="75F76844" w14:textId="77777777" w:rsidR="00AC43DA" w:rsidRPr="001227B6" w:rsidRDefault="00303B2C">
      <w:pPr>
        <w:pStyle w:val="a3"/>
        <w:spacing w:before="1"/>
        <w:ind w:right="341"/>
        <w:rPr>
          <w:lang w:val="en-US"/>
        </w:rPr>
      </w:pPr>
      <w:r w:rsidRPr="001227B6">
        <w:rPr>
          <w:lang w:val="en-US"/>
        </w:rPr>
        <w:t>In accordance with the classification of medical waste, the kits belong to class A (epidemiologically safe waste, similar in composition to solid household waste). Unused reagents in accordance with SanPiN 2.1.3684-21</w:t>
      </w:r>
    </w:p>
    <w:p w14:paraId="2F67E44D" w14:textId="77777777" w:rsidR="00AC43DA" w:rsidRPr="001227B6" w:rsidRDefault="00303B2C">
      <w:pPr>
        <w:pStyle w:val="a3"/>
        <w:spacing w:before="1"/>
        <w:ind w:right="338" w:firstLine="0"/>
        <w:rPr>
          <w:lang w:val="en-US"/>
        </w:rPr>
      </w:pPr>
      <w:r w:rsidRPr="001227B6">
        <w:rPr>
          <w:lang w:val="en-US"/>
        </w:rPr>
        <w:t>“Sanitary and epidemiological requirements for the maintenance of territories of urban and rural settlements, for water bodies, drinking water and drinking water supply, atmospheric air, soils, residential premises, operation of industrial and public premises, organization and implementation of sanitary and anti-epidemic (preventive) measures” are collected in disposable labeled packaging of any color (except yellow and red).</w:t>
      </w:r>
    </w:p>
    <w:p w14:paraId="3FAE3185" w14:textId="77777777" w:rsidR="00AC43DA" w:rsidRPr="001227B6" w:rsidRDefault="00303B2C">
      <w:pPr>
        <w:pStyle w:val="a3"/>
        <w:ind w:right="347"/>
        <w:rPr>
          <w:lang w:val="en-US"/>
        </w:rPr>
      </w:pPr>
      <w:r w:rsidRPr="001227B6">
        <w:rPr>
          <w:lang w:val="en-US"/>
        </w:rPr>
        <w:t>The test tubes and materials remaining after completion of the work are disposed of in accordance with MU “Guidelines for disinfection, pre-sterilization cleaning and sterilization of medical devices” (MU 287-113).</w:t>
      </w:r>
    </w:p>
    <w:p w14:paraId="18AE831A" w14:textId="77777777" w:rsidR="00AC43DA" w:rsidRPr="001227B6" w:rsidRDefault="00303B2C">
      <w:pPr>
        <w:pStyle w:val="a3"/>
        <w:spacing w:before="1"/>
        <w:ind w:right="347"/>
        <w:rPr>
          <w:lang w:val="en-US"/>
        </w:rPr>
      </w:pPr>
      <w:r w:rsidRPr="001227B6">
        <w:rPr>
          <w:lang w:val="en-US"/>
        </w:rPr>
        <w:t>Liquid components (reagents, reagents) are destroyed by draining them into the sewer with preliminary dilution of the reagent with tap water 1:100 and removal of the remaining packaging as industrial or household waste.</w:t>
      </w:r>
    </w:p>
    <w:p w14:paraId="79E8305E" w14:textId="77777777" w:rsidR="00AC43DA" w:rsidRPr="001227B6" w:rsidRDefault="00303B2C">
      <w:pPr>
        <w:pStyle w:val="a3"/>
        <w:ind w:right="347"/>
        <w:rPr>
          <w:lang w:val="en-US"/>
        </w:rPr>
      </w:pPr>
      <w:r w:rsidRPr="001227B6">
        <w:rPr>
          <w:lang w:val="en-US"/>
        </w:rPr>
        <w:t>Consumer packaging of the “HEPA-BCD-test” reagent kit is subject to mechanical destruction with removal of the remainder as industrial or household waste.</w:t>
      </w:r>
    </w:p>
    <w:p w14:paraId="5B9481A1" w14:textId="77777777" w:rsidR="00AC43DA" w:rsidRPr="001227B6" w:rsidRDefault="00303B2C">
      <w:pPr>
        <w:pStyle w:val="a3"/>
        <w:ind w:right="354"/>
        <w:rPr>
          <w:lang w:val="en-US"/>
        </w:rPr>
      </w:pPr>
      <w:r w:rsidRPr="001227B6">
        <w:rPr>
          <w:lang w:val="en-US"/>
        </w:rPr>
        <w:t>Personnel carrying out the destruction of a set of reagents must comply with the safety rules for carrying out a particular method of destruction.</w:t>
      </w:r>
    </w:p>
    <w:p w14:paraId="6B3DE483" w14:textId="77777777" w:rsidR="00AC43DA" w:rsidRPr="001227B6" w:rsidRDefault="00AC43DA">
      <w:pPr>
        <w:rPr>
          <w:lang w:val="en-US"/>
        </w:rPr>
        <w:sectPr w:rsidR="00AC43DA" w:rsidRPr="001227B6">
          <w:pgSz w:w="8400" w:h="11920"/>
          <w:pgMar w:top="400" w:right="240" w:bottom="640" w:left="380" w:header="0" w:footer="378" w:gutter="0"/>
          <w:cols w:space="720"/>
        </w:sectPr>
      </w:pPr>
    </w:p>
    <w:p w14:paraId="40746C6D" w14:textId="77777777" w:rsidR="00AC43DA" w:rsidRDefault="00303B2C">
      <w:pPr>
        <w:pStyle w:val="1"/>
        <w:numPr>
          <w:ilvl w:val="1"/>
          <w:numId w:val="1"/>
        </w:numPr>
        <w:tabs>
          <w:tab w:val="left" w:pos="1903"/>
        </w:tabs>
        <w:spacing w:before="63"/>
        <w:ind w:left="1902" w:hanging="363"/>
        <w:jc w:val="left"/>
      </w:pPr>
      <w:r>
        <w:lastRenderedPageBreak/>
        <w:t>Warranty obligations, contacts</w:t>
      </w:r>
    </w:p>
    <w:p w14:paraId="7F2C07C9" w14:textId="30371792" w:rsidR="0038617A" w:rsidRPr="0038617A" w:rsidRDefault="0038617A" w:rsidP="0038617A">
      <w:pPr>
        <w:ind w:left="284" w:firstLine="567"/>
        <w:rPr>
          <w:color w:val="000000"/>
          <w:sz w:val="24"/>
          <w:szCs w:val="24"/>
          <w:lang w:val="en-US"/>
        </w:rPr>
      </w:pPr>
      <w:r w:rsidRPr="0038617A">
        <w:rPr>
          <w:color w:val="000000"/>
          <w:sz w:val="24"/>
          <w:szCs w:val="24"/>
          <w:lang w:val="en-US"/>
        </w:rPr>
        <w:t>The manufacturer guarantees the quality and safety of the reagent kit "</w:t>
      </w:r>
      <w:r w:rsidRPr="001227B6">
        <w:rPr>
          <w:lang w:val="en-US"/>
        </w:rPr>
        <w:t>HEPA-BCD-test</w:t>
      </w:r>
      <w:r w:rsidRPr="0038617A">
        <w:rPr>
          <w:color w:val="000000"/>
          <w:sz w:val="24"/>
          <w:szCs w:val="24"/>
          <w:lang w:val="en-US"/>
        </w:rPr>
        <w:t>" during the shelf life in case of compliance with the requirements of transportation and storage of products, as well as in case of compliance with the rules of operation.</w:t>
      </w:r>
    </w:p>
    <w:p w14:paraId="5733B4B6" w14:textId="77777777" w:rsidR="0038617A" w:rsidRPr="0038617A" w:rsidRDefault="0038617A" w:rsidP="0038617A">
      <w:pPr>
        <w:ind w:left="284" w:firstLine="567"/>
        <w:rPr>
          <w:color w:val="000000"/>
          <w:sz w:val="24"/>
          <w:szCs w:val="24"/>
          <w:lang w:val="en-US"/>
        </w:rPr>
      </w:pPr>
      <w:r w:rsidRPr="0038617A">
        <w:rPr>
          <w:color w:val="000000"/>
          <w:sz w:val="24"/>
          <w:szCs w:val="24"/>
          <w:lang w:val="en-US"/>
        </w:rPr>
        <w:t>In case of complaints about reagent kit quality, undesirable events or incidents, submit information to:</w:t>
      </w:r>
    </w:p>
    <w:p w14:paraId="75A88C58" w14:textId="77777777" w:rsidR="0038617A" w:rsidRPr="0038617A" w:rsidRDefault="0038617A" w:rsidP="0038617A">
      <w:pPr>
        <w:ind w:left="284" w:firstLine="567"/>
        <w:rPr>
          <w:color w:val="000000"/>
          <w:sz w:val="24"/>
          <w:szCs w:val="24"/>
          <w:lang w:val="en-US"/>
        </w:rPr>
      </w:pPr>
      <w:r w:rsidRPr="0038617A">
        <w:rPr>
          <w:color w:val="000000"/>
          <w:sz w:val="24"/>
          <w:szCs w:val="24"/>
          <w:lang w:val="en-US"/>
        </w:rPr>
        <w:t>Limited Liability Company “TestGene”</w:t>
      </w:r>
    </w:p>
    <w:p w14:paraId="5E1D1131" w14:textId="77777777" w:rsidR="0038617A" w:rsidRPr="0038617A" w:rsidRDefault="0038617A" w:rsidP="0038617A">
      <w:pPr>
        <w:ind w:left="284" w:firstLine="567"/>
        <w:rPr>
          <w:color w:val="000000"/>
          <w:sz w:val="24"/>
          <w:szCs w:val="24"/>
          <w:lang w:val="en-US"/>
        </w:rPr>
      </w:pPr>
      <w:r w:rsidRPr="0038617A">
        <w:rPr>
          <w:color w:val="000000"/>
          <w:sz w:val="24"/>
          <w:szCs w:val="24"/>
          <w:lang w:val="en-US"/>
        </w:rPr>
        <w:t>(TestGene, LLC),</w:t>
      </w:r>
    </w:p>
    <w:p w14:paraId="1C295D25" w14:textId="77777777" w:rsidR="0038617A" w:rsidRPr="0038617A" w:rsidRDefault="0038617A" w:rsidP="0038617A">
      <w:pPr>
        <w:ind w:left="284" w:firstLine="567"/>
        <w:rPr>
          <w:color w:val="000000"/>
          <w:sz w:val="24"/>
          <w:szCs w:val="24"/>
          <w:lang w:val="en-US"/>
        </w:rPr>
      </w:pPr>
      <w:r w:rsidRPr="0038617A">
        <w:rPr>
          <w:color w:val="000000"/>
          <w:sz w:val="24"/>
          <w:szCs w:val="24"/>
          <w:lang w:val="en-US"/>
        </w:rPr>
        <w:t>9 44</w:t>
      </w:r>
      <w:r w:rsidRPr="0038617A">
        <w:rPr>
          <w:color w:val="000000"/>
          <w:sz w:val="24"/>
          <w:szCs w:val="24"/>
          <w:vertAlign w:val="superscript"/>
          <w:lang w:val="en-US"/>
        </w:rPr>
        <w:t>th</w:t>
      </w:r>
      <w:r w:rsidRPr="0038617A">
        <w:rPr>
          <w:color w:val="000000"/>
          <w:sz w:val="24"/>
          <w:szCs w:val="24"/>
          <w:lang w:val="en-US"/>
        </w:rPr>
        <w:t xml:space="preserve"> Inzhenerny Proezd, office 13, Ulyanovsk 432072</w:t>
      </w:r>
    </w:p>
    <w:p w14:paraId="79E70DD5" w14:textId="77777777" w:rsidR="0038617A" w:rsidRPr="0038617A" w:rsidRDefault="0038617A" w:rsidP="0038617A">
      <w:pPr>
        <w:ind w:left="284" w:firstLine="567"/>
        <w:rPr>
          <w:color w:val="000000"/>
          <w:sz w:val="24"/>
          <w:szCs w:val="24"/>
          <w:lang w:val="en-US"/>
        </w:rPr>
      </w:pPr>
      <w:r w:rsidRPr="0038617A">
        <w:rPr>
          <w:color w:val="000000"/>
          <w:sz w:val="24"/>
          <w:szCs w:val="24"/>
          <w:lang w:val="en-US"/>
        </w:rPr>
        <w:t>Tel.: +7 (499) 705-03-75</w:t>
      </w:r>
    </w:p>
    <w:p w14:paraId="300AA9D4" w14:textId="77777777" w:rsidR="0038617A" w:rsidRPr="0038617A" w:rsidRDefault="00FC0F55" w:rsidP="0038617A">
      <w:pPr>
        <w:ind w:left="284" w:firstLine="567"/>
        <w:rPr>
          <w:color w:val="000000"/>
          <w:sz w:val="24"/>
          <w:szCs w:val="24"/>
          <w:u w:val="single"/>
          <w:lang w:val="en-US"/>
        </w:rPr>
      </w:pPr>
      <w:hyperlink r:id="rId10" w:history="1">
        <w:r w:rsidR="0038617A" w:rsidRPr="0038617A">
          <w:rPr>
            <w:rStyle w:val="a7"/>
            <w:color w:val="000000"/>
            <w:sz w:val="24"/>
            <w:szCs w:val="24"/>
            <w:lang w:val="en-US"/>
          </w:rPr>
          <w:t>www.testgen.ru</w:t>
        </w:r>
      </w:hyperlink>
    </w:p>
    <w:p w14:paraId="2421F0D3" w14:textId="77777777" w:rsidR="0038617A" w:rsidRPr="0038617A" w:rsidRDefault="0038617A" w:rsidP="0038617A">
      <w:pPr>
        <w:ind w:left="284" w:firstLine="567"/>
        <w:rPr>
          <w:b/>
          <w:color w:val="000000"/>
          <w:sz w:val="24"/>
          <w:szCs w:val="24"/>
          <w:lang w:val="en-US"/>
        </w:rPr>
      </w:pPr>
      <w:r w:rsidRPr="0038617A">
        <w:rPr>
          <w:b/>
          <w:color w:val="000000"/>
          <w:sz w:val="24"/>
          <w:szCs w:val="24"/>
          <w:lang w:val="en-US"/>
        </w:rPr>
        <w:t>Technical Support Service:</w:t>
      </w:r>
    </w:p>
    <w:p w14:paraId="45209B14" w14:textId="77777777" w:rsidR="0038617A" w:rsidRPr="0038617A" w:rsidRDefault="0038617A" w:rsidP="0038617A">
      <w:pPr>
        <w:keepNext/>
        <w:ind w:left="284" w:firstLine="567"/>
        <w:rPr>
          <w:color w:val="000000"/>
          <w:sz w:val="24"/>
          <w:szCs w:val="24"/>
          <w:lang w:val="en-US"/>
        </w:rPr>
      </w:pPr>
      <w:r w:rsidRPr="0038617A">
        <w:rPr>
          <w:color w:val="000000"/>
          <w:sz w:val="24"/>
          <w:szCs w:val="24"/>
          <w:lang w:val="en-US"/>
        </w:rPr>
        <w:t>Tel.: +7 927 981 58 81</w:t>
      </w:r>
    </w:p>
    <w:p w14:paraId="0EEA3299" w14:textId="77777777" w:rsidR="0038617A" w:rsidRPr="0038617A" w:rsidRDefault="0038617A" w:rsidP="0038617A">
      <w:pPr>
        <w:keepNext/>
        <w:ind w:left="284" w:firstLine="567"/>
        <w:rPr>
          <w:color w:val="000000"/>
          <w:sz w:val="24"/>
          <w:szCs w:val="24"/>
          <w:u w:val="single"/>
          <w:lang w:val="en-US"/>
        </w:rPr>
      </w:pPr>
      <w:r w:rsidRPr="0038617A">
        <w:rPr>
          <w:color w:val="000000"/>
          <w:sz w:val="24"/>
          <w:szCs w:val="24"/>
          <w:lang w:val="en-US"/>
        </w:rPr>
        <w:t xml:space="preserve">E-mail: </w:t>
      </w:r>
      <w:r w:rsidRPr="0038617A">
        <w:rPr>
          <w:color w:val="000000"/>
          <w:sz w:val="24"/>
          <w:szCs w:val="24"/>
          <w:u w:val="single"/>
          <w:lang w:val="en-US"/>
        </w:rPr>
        <w:t>help@testgen.ru</w:t>
      </w:r>
    </w:p>
    <w:p w14:paraId="6C5A03F4" w14:textId="77777777" w:rsidR="005D71E3" w:rsidRDefault="005D71E3" w:rsidP="005D71E3">
      <w:pPr>
        <w:pStyle w:val="a3"/>
        <w:tabs>
          <w:tab w:val="left" w:pos="1059"/>
          <w:tab w:val="left" w:pos="1516"/>
          <w:tab w:val="left" w:pos="2138"/>
          <w:tab w:val="left" w:pos="2908"/>
          <w:tab w:val="left" w:pos="3643"/>
          <w:tab w:val="left" w:pos="4183"/>
          <w:tab w:val="left" w:pos="4248"/>
          <w:tab w:val="left" w:pos="4788"/>
          <w:tab w:val="left" w:pos="5064"/>
          <w:tab w:val="left" w:pos="5921"/>
          <w:tab w:val="left" w:pos="5974"/>
          <w:tab w:val="left" w:pos="7302"/>
        </w:tabs>
        <w:spacing w:before="2"/>
        <w:ind w:left="344" w:right="345"/>
        <w:jc w:val="left"/>
        <w:rPr>
          <w:lang w:val="en-US"/>
        </w:rPr>
      </w:pPr>
    </w:p>
    <w:p w14:paraId="65564F1C" w14:textId="77777777" w:rsidR="00AC43DA" w:rsidRPr="001A1BC3" w:rsidRDefault="00AC43DA">
      <w:pPr>
        <w:pStyle w:val="a3"/>
        <w:ind w:left="0" w:firstLine="0"/>
        <w:jc w:val="left"/>
        <w:rPr>
          <w:sz w:val="16"/>
          <w:lang w:val="en-US"/>
        </w:rPr>
      </w:pPr>
    </w:p>
    <w:sectPr w:rsidR="00AC43DA" w:rsidRPr="001A1BC3" w:rsidSect="00C50798">
      <w:pgSz w:w="8400" w:h="11920"/>
      <w:pgMar w:top="400" w:right="240" w:bottom="640" w:left="380" w:header="0"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41C3" w14:textId="77777777" w:rsidR="00BA495A" w:rsidRDefault="00BA495A">
      <w:r>
        <w:separator/>
      </w:r>
    </w:p>
  </w:endnote>
  <w:endnote w:type="continuationSeparator" w:id="0">
    <w:p w14:paraId="7A8D41DB" w14:textId="77777777" w:rsidR="00BA495A" w:rsidRDefault="00BA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25D5" w14:textId="45638E87" w:rsidR="00AC43DA" w:rsidRDefault="006C564C">
    <w:pPr>
      <w:pStyle w:val="a3"/>
      <w:spacing w:line="14" w:lineRule="auto"/>
      <w:ind w:left="0" w:firstLine="0"/>
      <w:jc w:val="left"/>
      <w:rPr>
        <w:sz w:val="15"/>
      </w:rPr>
    </w:pPr>
    <w:r>
      <w:rPr>
        <w:noProof/>
      </w:rPr>
      <mc:AlternateContent>
        <mc:Choice Requires="wps">
          <w:drawing>
            <wp:anchor distT="0" distB="0" distL="114300" distR="114300" simplePos="0" relativeHeight="251657728" behindDoc="1" locked="0" layoutInCell="1" allowOverlap="1" wp14:anchorId="0EDD36D5" wp14:editId="394FCC76">
              <wp:simplePos x="0" y="0"/>
              <wp:positionH relativeFrom="page">
                <wp:posOffset>2771775</wp:posOffset>
              </wp:positionH>
              <wp:positionV relativeFrom="page">
                <wp:posOffset>7136130</wp:posOffset>
              </wp:positionV>
              <wp:extent cx="219710" cy="165735"/>
              <wp:effectExtent l="0" t="0" r="0" b="0"/>
              <wp:wrapNone/>
              <wp:docPr id="1253121888"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7C87" w14:textId="77777777" w:rsidR="00AC43DA" w:rsidRDefault="00303B2C">
                          <w:pPr>
                            <w:spacing w:line="245" w:lineRule="exact"/>
                            <w:ind w:left="60"/>
                            <w:rPr>
                              <w:rFonts w:ascii="Calibri"/>
                            </w:rPr>
                          </w:pPr>
                          <w:r>
                            <w:fldChar w:fldCharType="begin"/>
                          </w:r>
                          <w:r>
                            <w:rPr>
                              <w:rFonts w:ascii="Calibri"/>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D36D5" id="_x0000_t202" coordsize="21600,21600" o:spt="202" path="m,l,21600r21600,l21600,xe">
              <v:stroke joinstyle="miter"/>
              <v:path gradientshapeok="t" o:connecttype="rect"/>
            </v:shapetype>
            <v:shape id="Надпись 3" o:spid="_x0000_s1026" type="#_x0000_t202" style="position:absolute;margin-left:218.25pt;margin-top:561.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" filled="f" stroked="f">
              <v:textbox inset="0,0,0,0">
                <w:txbxContent>
                  <w:p w14:paraId="0B977C87" w14:textId="77777777" w:rsidR="00AC43DA" w:rsidRDefault="00303B2C">
                    <w:pPr>
                      <w:spacing w:line="245" w:lineRule="exact"/>
                      <w:ind w:left="60"/>
                      <w:rPr>
                        <w:rFonts w:ascii="Calibri"/>
                      </w:rPr>
                    </w:pPr>
                    <w:r>
                      <w:fldChar w:fldCharType="begin"/>
                    </w:r>
                    <w:r>
                      <w:rPr>
                        <w:rFonts w:ascii="Calibri"/>
                      </w:rPr>
                      <w:instrText xml:space="preserve"> PAGE </w:instrText>
                    </w:r>
                    <w:r>
                      <w:fldChar w:fldCharType="separate"/>
                    </w:r>
                    <w: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315C" w14:textId="77777777" w:rsidR="00BA495A" w:rsidRDefault="00BA495A">
      <w:r>
        <w:separator/>
      </w:r>
    </w:p>
  </w:footnote>
  <w:footnote w:type="continuationSeparator" w:id="0">
    <w:p w14:paraId="3A075D3B" w14:textId="77777777" w:rsidR="00BA495A" w:rsidRDefault="00BA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5267"/>
    <w:multiLevelType w:val="hybridMultilevel"/>
    <w:tmpl w:val="F6B2C84A"/>
    <w:lvl w:ilvl="0" w:tplc="79E85B5C">
      <w:start w:val="1"/>
      <w:numFmt w:val="decimal"/>
      <w:lvlText w:val="%1."/>
      <w:lvlJc w:val="left"/>
      <w:pPr>
        <w:ind w:left="328" w:hanging="288"/>
        <w:jc w:val="right"/>
      </w:pPr>
      <w:rPr>
        <w:rFonts w:hint="default"/>
        <w:w w:val="100"/>
        <w:lang w:val="ru-RU" w:eastAsia="en-US" w:bidi="ar-SA"/>
      </w:rPr>
    </w:lvl>
    <w:lvl w:ilvl="1" w:tplc="3C840170">
      <w:numFmt w:val="bullet"/>
      <w:lvlText w:val="•"/>
      <w:lvlJc w:val="left"/>
      <w:pPr>
        <w:ind w:left="1066" w:hanging="288"/>
      </w:pPr>
      <w:rPr>
        <w:rFonts w:hint="default"/>
        <w:lang w:val="ru-RU" w:eastAsia="en-US" w:bidi="ar-SA"/>
      </w:rPr>
    </w:lvl>
    <w:lvl w:ilvl="2" w:tplc="90266FD8">
      <w:numFmt w:val="bullet"/>
      <w:lvlText w:val="•"/>
      <w:lvlJc w:val="left"/>
      <w:pPr>
        <w:ind w:left="1812" w:hanging="288"/>
      </w:pPr>
      <w:rPr>
        <w:rFonts w:hint="default"/>
        <w:lang w:val="ru-RU" w:eastAsia="en-US" w:bidi="ar-SA"/>
      </w:rPr>
    </w:lvl>
    <w:lvl w:ilvl="3" w:tplc="1FDE0202">
      <w:numFmt w:val="bullet"/>
      <w:lvlText w:val="•"/>
      <w:lvlJc w:val="left"/>
      <w:pPr>
        <w:ind w:left="2558" w:hanging="288"/>
      </w:pPr>
      <w:rPr>
        <w:rFonts w:hint="default"/>
        <w:lang w:val="ru-RU" w:eastAsia="en-US" w:bidi="ar-SA"/>
      </w:rPr>
    </w:lvl>
    <w:lvl w:ilvl="4" w:tplc="4AA4FAC4">
      <w:numFmt w:val="bullet"/>
      <w:lvlText w:val="•"/>
      <w:lvlJc w:val="left"/>
      <w:pPr>
        <w:ind w:left="3304" w:hanging="288"/>
      </w:pPr>
      <w:rPr>
        <w:rFonts w:hint="default"/>
        <w:lang w:val="ru-RU" w:eastAsia="en-US" w:bidi="ar-SA"/>
      </w:rPr>
    </w:lvl>
    <w:lvl w:ilvl="5" w:tplc="E5CE975E">
      <w:numFmt w:val="bullet"/>
      <w:lvlText w:val="•"/>
      <w:lvlJc w:val="left"/>
      <w:pPr>
        <w:ind w:left="4050" w:hanging="288"/>
      </w:pPr>
      <w:rPr>
        <w:rFonts w:hint="default"/>
        <w:lang w:val="ru-RU" w:eastAsia="en-US" w:bidi="ar-SA"/>
      </w:rPr>
    </w:lvl>
    <w:lvl w:ilvl="6" w:tplc="6C7C412E">
      <w:numFmt w:val="bullet"/>
      <w:lvlText w:val="•"/>
      <w:lvlJc w:val="left"/>
      <w:pPr>
        <w:ind w:left="4796" w:hanging="288"/>
      </w:pPr>
      <w:rPr>
        <w:rFonts w:hint="default"/>
        <w:lang w:val="ru-RU" w:eastAsia="en-US" w:bidi="ar-SA"/>
      </w:rPr>
    </w:lvl>
    <w:lvl w:ilvl="7" w:tplc="F42CE04E">
      <w:numFmt w:val="bullet"/>
      <w:lvlText w:val="•"/>
      <w:lvlJc w:val="left"/>
      <w:pPr>
        <w:ind w:left="5542" w:hanging="288"/>
      </w:pPr>
      <w:rPr>
        <w:rFonts w:hint="default"/>
        <w:lang w:val="ru-RU" w:eastAsia="en-US" w:bidi="ar-SA"/>
      </w:rPr>
    </w:lvl>
    <w:lvl w:ilvl="8" w:tplc="9A540C0C">
      <w:numFmt w:val="bullet"/>
      <w:lvlText w:val="•"/>
      <w:lvlJc w:val="left"/>
      <w:pPr>
        <w:ind w:left="6288" w:hanging="288"/>
      </w:pPr>
      <w:rPr>
        <w:rFonts w:hint="default"/>
        <w:lang w:val="ru-RU" w:eastAsia="en-US" w:bidi="ar-SA"/>
      </w:rPr>
    </w:lvl>
  </w:abstractNum>
  <w:abstractNum w:abstractNumId="1" w15:restartNumberingAfterBreak="0">
    <w:nsid w:val="0AAF7D6C"/>
    <w:multiLevelType w:val="hybridMultilevel"/>
    <w:tmpl w:val="F42CF428"/>
    <w:lvl w:ilvl="0" w:tplc="30A6AF9C">
      <w:numFmt w:val="bullet"/>
      <w:lvlText w:val="–"/>
      <w:lvlJc w:val="left"/>
      <w:pPr>
        <w:ind w:left="688" w:hanging="361"/>
      </w:pPr>
      <w:rPr>
        <w:rFonts w:ascii="Times New Roman" w:eastAsia="Times New Roman" w:hAnsi="Times New Roman" w:cs="Times New Roman" w:hint="default"/>
        <w:w w:val="100"/>
        <w:sz w:val="24"/>
        <w:szCs w:val="24"/>
        <w:lang w:val="ru-RU" w:eastAsia="en-US" w:bidi="ar-SA"/>
      </w:rPr>
    </w:lvl>
    <w:lvl w:ilvl="1" w:tplc="7FECF254">
      <w:numFmt w:val="bullet"/>
      <w:lvlText w:val="-"/>
      <w:lvlJc w:val="left"/>
      <w:pPr>
        <w:ind w:left="328" w:hanging="204"/>
      </w:pPr>
      <w:rPr>
        <w:rFonts w:ascii="Times New Roman" w:eastAsia="Times New Roman" w:hAnsi="Times New Roman" w:cs="Times New Roman" w:hint="default"/>
        <w:w w:val="100"/>
        <w:sz w:val="22"/>
        <w:szCs w:val="22"/>
        <w:lang w:val="ru-RU" w:eastAsia="en-US" w:bidi="ar-SA"/>
      </w:rPr>
    </w:lvl>
    <w:lvl w:ilvl="2" w:tplc="1E1EC782">
      <w:numFmt w:val="bullet"/>
      <w:lvlText w:val="•"/>
      <w:lvlJc w:val="left"/>
      <w:pPr>
        <w:ind w:left="1468" w:hanging="204"/>
      </w:pPr>
      <w:rPr>
        <w:rFonts w:hint="default"/>
        <w:lang w:val="ru-RU" w:eastAsia="en-US" w:bidi="ar-SA"/>
      </w:rPr>
    </w:lvl>
    <w:lvl w:ilvl="3" w:tplc="491871C8">
      <w:numFmt w:val="bullet"/>
      <w:lvlText w:val="•"/>
      <w:lvlJc w:val="left"/>
      <w:pPr>
        <w:ind w:left="2257" w:hanging="204"/>
      </w:pPr>
      <w:rPr>
        <w:rFonts w:hint="default"/>
        <w:lang w:val="ru-RU" w:eastAsia="en-US" w:bidi="ar-SA"/>
      </w:rPr>
    </w:lvl>
    <w:lvl w:ilvl="4" w:tplc="A9C0BCA2">
      <w:numFmt w:val="bullet"/>
      <w:lvlText w:val="•"/>
      <w:lvlJc w:val="left"/>
      <w:pPr>
        <w:ind w:left="3046" w:hanging="204"/>
      </w:pPr>
      <w:rPr>
        <w:rFonts w:hint="default"/>
        <w:lang w:val="ru-RU" w:eastAsia="en-US" w:bidi="ar-SA"/>
      </w:rPr>
    </w:lvl>
    <w:lvl w:ilvl="5" w:tplc="20083BB6">
      <w:numFmt w:val="bullet"/>
      <w:lvlText w:val="•"/>
      <w:lvlJc w:val="left"/>
      <w:pPr>
        <w:ind w:left="3835" w:hanging="204"/>
      </w:pPr>
      <w:rPr>
        <w:rFonts w:hint="default"/>
        <w:lang w:val="ru-RU" w:eastAsia="en-US" w:bidi="ar-SA"/>
      </w:rPr>
    </w:lvl>
    <w:lvl w:ilvl="6" w:tplc="43B4B954">
      <w:numFmt w:val="bullet"/>
      <w:lvlText w:val="•"/>
      <w:lvlJc w:val="left"/>
      <w:pPr>
        <w:ind w:left="4624" w:hanging="204"/>
      </w:pPr>
      <w:rPr>
        <w:rFonts w:hint="default"/>
        <w:lang w:val="ru-RU" w:eastAsia="en-US" w:bidi="ar-SA"/>
      </w:rPr>
    </w:lvl>
    <w:lvl w:ilvl="7" w:tplc="5F4EB29A">
      <w:numFmt w:val="bullet"/>
      <w:lvlText w:val="•"/>
      <w:lvlJc w:val="left"/>
      <w:pPr>
        <w:ind w:left="5413" w:hanging="204"/>
      </w:pPr>
      <w:rPr>
        <w:rFonts w:hint="default"/>
        <w:lang w:val="ru-RU" w:eastAsia="en-US" w:bidi="ar-SA"/>
      </w:rPr>
    </w:lvl>
    <w:lvl w:ilvl="8" w:tplc="3D66BC9A">
      <w:numFmt w:val="bullet"/>
      <w:lvlText w:val="•"/>
      <w:lvlJc w:val="left"/>
      <w:pPr>
        <w:ind w:left="6202" w:hanging="204"/>
      </w:pPr>
      <w:rPr>
        <w:rFonts w:hint="default"/>
        <w:lang w:val="ru-RU" w:eastAsia="en-US" w:bidi="ar-SA"/>
      </w:rPr>
    </w:lvl>
  </w:abstractNum>
  <w:abstractNum w:abstractNumId="2" w15:restartNumberingAfterBreak="0">
    <w:nsid w:val="0C514262"/>
    <w:multiLevelType w:val="hybridMultilevel"/>
    <w:tmpl w:val="FA6C9B10"/>
    <w:lvl w:ilvl="0" w:tplc="4F46A200">
      <w:start w:val="1"/>
      <w:numFmt w:val="decimal"/>
      <w:lvlText w:val="%1)"/>
      <w:lvlJc w:val="left"/>
      <w:pPr>
        <w:ind w:left="328" w:hanging="322"/>
        <w:jc w:val="right"/>
      </w:pPr>
      <w:rPr>
        <w:rFonts w:ascii="Times New Roman" w:eastAsia="Times New Roman" w:hAnsi="Times New Roman" w:cs="Times New Roman" w:hint="default"/>
        <w:w w:val="99"/>
        <w:sz w:val="24"/>
        <w:szCs w:val="24"/>
        <w:lang w:val="ru-RU" w:eastAsia="en-US" w:bidi="ar-SA"/>
      </w:rPr>
    </w:lvl>
    <w:lvl w:ilvl="1" w:tplc="7AAC8D0A">
      <w:numFmt w:val="bullet"/>
      <w:lvlText w:val="•"/>
      <w:lvlJc w:val="left"/>
      <w:pPr>
        <w:ind w:left="1066" w:hanging="322"/>
      </w:pPr>
      <w:rPr>
        <w:rFonts w:hint="default"/>
        <w:lang w:val="ru-RU" w:eastAsia="en-US" w:bidi="ar-SA"/>
      </w:rPr>
    </w:lvl>
    <w:lvl w:ilvl="2" w:tplc="3438D062">
      <w:numFmt w:val="bullet"/>
      <w:lvlText w:val="•"/>
      <w:lvlJc w:val="left"/>
      <w:pPr>
        <w:ind w:left="1812" w:hanging="322"/>
      </w:pPr>
      <w:rPr>
        <w:rFonts w:hint="default"/>
        <w:lang w:val="ru-RU" w:eastAsia="en-US" w:bidi="ar-SA"/>
      </w:rPr>
    </w:lvl>
    <w:lvl w:ilvl="3" w:tplc="EA182790">
      <w:numFmt w:val="bullet"/>
      <w:lvlText w:val="•"/>
      <w:lvlJc w:val="left"/>
      <w:pPr>
        <w:ind w:left="2558" w:hanging="322"/>
      </w:pPr>
      <w:rPr>
        <w:rFonts w:hint="default"/>
        <w:lang w:val="ru-RU" w:eastAsia="en-US" w:bidi="ar-SA"/>
      </w:rPr>
    </w:lvl>
    <w:lvl w:ilvl="4" w:tplc="0B260F10">
      <w:numFmt w:val="bullet"/>
      <w:lvlText w:val="•"/>
      <w:lvlJc w:val="left"/>
      <w:pPr>
        <w:ind w:left="3304" w:hanging="322"/>
      </w:pPr>
      <w:rPr>
        <w:rFonts w:hint="default"/>
        <w:lang w:val="ru-RU" w:eastAsia="en-US" w:bidi="ar-SA"/>
      </w:rPr>
    </w:lvl>
    <w:lvl w:ilvl="5" w:tplc="5AE6A5AA">
      <w:numFmt w:val="bullet"/>
      <w:lvlText w:val="•"/>
      <w:lvlJc w:val="left"/>
      <w:pPr>
        <w:ind w:left="4050" w:hanging="322"/>
      </w:pPr>
      <w:rPr>
        <w:rFonts w:hint="default"/>
        <w:lang w:val="ru-RU" w:eastAsia="en-US" w:bidi="ar-SA"/>
      </w:rPr>
    </w:lvl>
    <w:lvl w:ilvl="6" w:tplc="DAF8E1B6">
      <w:numFmt w:val="bullet"/>
      <w:lvlText w:val="•"/>
      <w:lvlJc w:val="left"/>
      <w:pPr>
        <w:ind w:left="4796" w:hanging="322"/>
      </w:pPr>
      <w:rPr>
        <w:rFonts w:hint="default"/>
        <w:lang w:val="ru-RU" w:eastAsia="en-US" w:bidi="ar-SA"/>
      </w:rPr>
    </w:lvl>
    <w:lvl w:ilvl="7" w:tplc="A2621B2C">
      <w:numFmt w:val="bullet"/>
      <w:lvlText w:val="•"/>
      <w:lvlJc w:val="left"/>
      <w:pPr>
        <w:ind w:left="5542" w:hanging="322"/>
      </w:pPr>
      <w:rPr>
        <w:rFonts w:hint="default"/>
        <w:lang w:val="ru-RU" w:eastAsia="en-US" w:bidi="ar-SA"/>
      </w:rPr>
    </w:lvl>
    <w:lvl w:ilvl="8" w:tplc="E49E2E72">
      <w:numFmt w:val="bullet"/>
      <w:lvlText w:val="•"/>
      <w:lvlJc w:val="left"/>
      <w:pPr>
        <w:ind w:left="6288" w:hanging="322"/>
      </w:pPr>
      <w:rPr>
        <w:rFonts w:hint="default"/>
        <w:lang w:val="ru-RU" w:eastAsia="en-US" w:bidi="ar-SA"/>
      </w:rPr>
    </w:lvl>
  </w:abstractNum>
  <w:abstractNum w:abstractNumId="3" w15:restartNumberingAfterBreak="0">
    <w:nsid w:val="100252BB"/>
    <w:multiLevelType w:val="hybridMultilevel"/>
    <w:tmpl w:val="28FE081A"/>
    <w:lvl w:ilvl="0" w:tplc="3656C7E8">
      <w:numFmt w:val="bullet"/>
      <w:lvlText w:val="-"/>
      <w:lvlJc w:val="left"/>
      <w:pPr>
        <w:ind w:left="328" w:hanging="144"/>
      </w:pPr>
      <w:rPr>
        <w:rFonts w:hint="default"/>
        <w:w w:val="100"/>
        <w:lang w:val="ru-RU" w:eastAsia="en-US" w:bidi="ar-SA"/>
      </w:rPr>
    </w:lvl>
    <w:lvl w:ilvl="1" w:tplc="8258ED46">
      <w:numFmt w:val="bullet"/>
      <w:lvlText w:val="•"/>
      <w:lvlJc w:val="left"/>
      <w:pPr>
        <w:ind w:left="1066" w:hanging="144"/>
      </w:pPr>
      <w:rPr>
        <w:rFonts w:hint="default"/>
        <w:lang w:val="ru-RU" w:eastAsia="en-US" w:bidi="ar-SA"/>
      </w:rPr>
    </w:lvl>
    <w:lvl w:ilvl="2" w:tplc="143C91EA">
      <w:numFmt w:val="bullet"/>
      <w:lvlText w:val="•"/>
      <w:lvlJc w:val="left"/>
      <w:pPr>
        <w:ind w:left="1812" w:hanging="144"/>
      </w:pPr>
      <w:rPr>
        <w:rFonts w:hint="default"/>
        <w:lang w:val="ru-RU" w:eastAsia="en-US" w:bidi="ar-SA"/>
      </w:rPr>
    </w:lvl>
    <w:lvl w:ilvl="3" w:tplc="21980F70">
      <w:numFmt w:val="bullet"/>
      <w:lvlText w:val="•"/>
      <w:lvlJc w:val="left"/>
      <w:pPr>
        <w:ind w:left="2558" w:hanging="144"/>
      </w:pPr>
      <w:rPr>
        <w:rFonts w:hint="default"/>
        <w:lang w:val="ru-RU" w:eastAsia="en-US" w:bidi="ar-SA"/>
      </w:rPr>
    </w:lvl>
    <w:lvl w:ilvl="4" w:tplc="865A9D02">
      <w:numFmt w:val="bullet"/>
      <w:lvlText w:val="•"/>
      <w:lvlJc w:val="left"/>
      <w:pPr>
        <w:ind w:left="3304" w:hanging="144"/>
      </w:pPr>
      <w:rPr>
        <w:rFonts w:hint="default"/>
        <w:lang w:val="ru-RU" w:eastAsia="en-US" w:bidi="ar-SA"/>
      </w:rPr>
    </w:lvl>
    <w:lvl w:ilvl="5" w:tplc="DD6C10A4">
      <w:numFmt w:val="bullet"/>
      <w:lvlText w:val="•"/>
      <w:lvlJc w:val="left"/>
      <w:pPr>
        <w:ind w:left="4050" w:hanging="144"/>
      </w:pPr>
      <w:rPr>
        <w:rFonts w:hint="default"/>
        <w:lang w:val="ru-RU" w:eastAsia="en-US" w:bidi="ar-SA"/>
      </w:rPr>
    </w:lvl>
    <w:lvl w:ilvl="6" w:tplc="BE9AA32A">
      <w:numFmt w:val="bullet"/>
      <w:lvlText w:val="•"/>
      <w:lvlJc w:val="left"/>
      <w:pPr>
        <w:ind w:left="4796" w:hanging="144"/>
      </w:pPr>
      <w:rPr>
        <w:rFonts w:hint="default"/>
        <w:lang w:val="ru-RU" w:eastAsia="en-US" w:bidi="ar-SA"/>
      </w:rPr>
    </w:lvl>
    <w:lvl w:ilvl="7" w:tplc="ED3A5B08">
      <w:numFmt w:val="bullet"/>
      <w:lvlText w:val="•"/>
      <w:lvlJc w:val="left"/>
      <w:pPr>
        <w:ind w:left="5542" w:hanging="144"/>
      </w:pPr>
      <w:rPr>
        <w:rFonts w:hint="default"/>
        <w:lang w:val="ru-RU" w:eastAsia="en-US" w:bidi="ar-SA"/>
      </w:rPr>
    </w:lvl>
    <w:lvl w:ilvl="8" w:tplc="9F061B7A">
      <w:numFmt w:val="bullet"/>
      <w:lvlText w:val="•"/>
      <w:lvlJc w:val="left"/>
      <w:pPr>
        <w:ind w:left="6288" w:hanging="144"/>
      </w:pPr>
      <w:rPr>
        <w:rFonts w:hint="default"/>
        <w:lang w:val="ru-RU" w:eastAsia="en-US" w:bidi="ar-SA"/>
      </w:rPr>
    </w:lvl>
  </w:abstractNum>
  <w:abstractNum w:abstractNumId="4" w15:restartNumberingAfterBreak="0">
    <w:nsid w:val="2334421F"/>
    <w:multiLevelType w:val="hybridMultilevel"/>
    <w:tmpl w:val="DC0442D8"/>
    <w:lvl w:ilvl="0" w:tplc="D17E685A">
      <w:start w:val="1"/>
      <w:numFmt w:val="decimal"/>
      <w:lvlText w:val="%1."/>
      <w:lvlJc w:val="left"/>
      <w:pPr>
        <w:ind w:left="328" w:hanging="288"/>
      </w:pPr>
      <w:rPr>
        <w:rFonts w:ascii="Times New Roman" w:eastAsia="Times New Roman" w:hAnsi="Times New Roman" w:cs="Times New Roman" w:hint="default"/>
        <w:w w:val="100"/>
        <w:sz w:val="24"/>
        <w:szCs w:val="24"/>
        <w:lang w:val="ru-RU" w:eastAsia="en-US" w:bidi="ar-SA"/>
      </w:rPr>
    </w:lvl>
    <w:lvl w:ilvl="1" w:tplc="DA9E9A84">
      <w:start w:val="11"/>
      <w:numFmt w:val="decimal"/>
      <w:lvlText w:val="%2."/>
      <w:lvlJc w:val="left"/>
      <w:pPr>
        <w:ind w:left="1708" w:hanging="360"/>
        <w:jc w:val="right"/>
      </w:pPr>
      <w:rPr>
        <w:rFonts w:ascii="Times New Roman" w:eastAsia="Times New Roman" w:hAnsi="Times New Roman" w:cs="Times New Roman" w:hint="default"/>
        <w:b/>
        <w:bCs/>
        <w:w w:val="100"/>
        <w:sz w:val="24"/>
        <w:szCs w:val="24"/>
        <w:lang w:val="ru-RU" w:eastAsia="en-US" w:bidi="ar-SA"/>
      </w:rPr>
    </w:lvl>
    <w:lvl w:ilvl="2" w:tplc="2C82D9FE">
      <w:numFmt w:val="bullet"/>
      <w:lvlText w:val="•"/>
      <w:lvlJc w:val="left"/>
      <w:pPr>
        <w:ind w:left="2375" w:hanging="360"/>
      </w:pPr>
      <w:rPr>
        <w:rFonts w:hint="default"/>
        <w:lang w:val="ru-RU" w:eastAsia="en-US" w:bidi="ar-SA"/>
      </w:rPr>
    </w:lvl>
    <w:lvl w:ilvl="3" w:tplc="5D10C46A">
      <w:numFmt w:val="bullet"/>
      <w:lvlText w:val="•"/>
      <w:lvlJc w:val="left"/>
      <w:pPr>
        <w:ind w:left="3051" w:hanging="360"/>
      </w:pPr>
      <w:rPr>
        <w:rFonts w:hint="default"/>
        <w:lang w:val="ru-RU" w:eastAsia="en-US" w:bidi="ar-SA"/>
      </w:rPr>
    </w:lvl>
    <w:lvl w:ilvl="4" w:tplc="9CDC4C64">
      <w:numFmt w:val="bullet"/>
      <w:lvlText w:val="•"/>
      <w:lvlJc w:val="left"/>
      <w:pPr>
        <w:ind w:left="3726" w:hanging="360"/>
      </w:pPr>
      <w:rPr>
        <w:rFonts w:hint="default"/>
        <w:lang w:val="ru-RU" w:eastAsia="en-US" w:bidi="ar-SA"/>
      </w:rPr>
    </w:lvl>
    <w:lvl w:ilvl="5" w:tplc="F41A52D4">
      <w:numFmt w:val="bullet"/>
      <w:lvlText w:val="•"/>
      <w:lvlJc w:val="left"/>
      <w:pPr>
        <w:ind w:left="4402" w:hanging="360"/>
      </w:pPr>
      <w:rPr>
        <w:rFonts w:hint="default"/>
        <w:lang w:val="ru-RU" w:eastAsia="en-US" w:bidi="ar-SA"/>
      </w:rPr>
    </w:lvl>
    <w:lvl w:ilvl="6" w:tplc="1F463960">
      <w:numFmt w:val="bullet"/>
      <w:lvlText w:val="•"/>
      <w:lvlJc w:val="left"/>
      <w:pPr>
        <w:ind w:left="5077" w:hanging="360"/>
      </w:pPr>
      <w:rPr>
        <w:rFonts w:hint="default"/>
        <w:lang w:val="ru-RU" w:eastAsia="en-US" w:bidi="ar-SA"/>
      </w:rPr>
    </w:lvl>
    <w:lvl w:ilvl="7" w:tplc="6A9A2A40">
      <w:numFmt w:val="bullet"/>
      <w:lvlText w:val="•"/>
      <w:lvlJc w:val="left"/>
      <w:pPr>
        <w:ind w:left="5753" w:hanging="360"/>
      </w:pPr>
      <w:rPr>
        <w:rFonts w:hint="default"/>
        <w:lang w:val="ru-RU" w:eastAsia="en-US" w:bidi="ar-SA"/>
      </w:rPr>
    </w:lvl>
    <w:lvl w:ilvl="8" w:tplc="31A269CC">
      <w:numFmt w:val="bullet"/>
      <w:lvlText w:val="•"/>
      <w:lvlJc w:val="left"/>
      <w:pPr>
        <w:ind w:left="6428" w:hanging="360"/>
      </w:pPr>
      <w:rPr>
        <w:rFonts w:hint="default"/>
        <w:lang w:val="ru-RU" w:eastAsia="en-US" w:bidi="ar-SA"/>
      </w:rPr>
    </w:lvl>
  </w:abstractNum>
  <w:abstractNum w:abstractNumId="5" w15:restartNumberingAfterBreak="0">
    <w:nsid w:val="23D600C7"/>
    <w:multiLevelType w:val="hybridMultilevel"/>
    <w:tmpl w:val="03C87030"/>
    <w:lvl w:ilvl="0" w:tplc="7B1C66D8">
      <w:numFmt w:val="bullet"/>
      <w:lvlText w:val="-"/>
      <w:lvlJc w:val="left"/>
      <w:pPr>
        <w:ind w:left="1175" w:hanging="140"/>
      </w:pPr>
      <w:rPr>
        <w:rFonts w:ascii="Times New Roman" w:eastAsia="Times New Roman" w:hAnsi="Times New Roman" w:cs="Times New Roman" w:hint="default"/>
        <w:w w:val="97"/>
        <w:sz w:val="24"/>
        <w:szCs w:val="24"/>
        <w:lang w:val="ru-RU" w:eastAsia="en-US" w:bidi="ar-SA"/>
      </w:rPr>
    </w:lvl>
    <w:lvl w:ilvl="1" w:tplc="0AEE8C60">
      <w:numFmt w:val="bullet"/>
      <w:lvlText w:val="•"/>
      <w:lvlJc w:val="left"/>
      <w:pPr>
        <w:ind w:left="1840" w:hanging="140"/>
      </w:pPr>
      <w:rPr>
        <w:rFonts w:hint="default"/>
        <w:lang w:val="ru-RU" w:eastAsia="en-US" w:bidi="ar-SA"/>
      </w:rPr>
    </w:lvl>
    <w:lvl w:ilvl="2" w:tplc="B2168CFC">
      <w:numFmt w:val="bullet"/>
      <w:lvlText w:val="•"/>
      <w:lvlJc w:val="left"/>
      <w:pPr>
        <w:ind w:left="2500" w:hanging="140"/>
      </w:pPr>
      <w:rPr>
        <w:rFonts w:hint="default"/>
        <w:lang w:val="ru-RU" w:eastAsia="en-US" w:bidi="ar-SA"/>
      </w:rPr>
    </w:lvl>
    <w:lvl w:ilvl="3" w:tplc="0B3078EA">
      <w:numFmt w:val="bullet"/>
      <w:lvlText w:val="•"/>
      <w:lvlJc w:val="left"/>
      <w:pPr>
        <w:ind w:left="3160" w:hanging="140"/>
      </w:pPr>
      <w:rPr>
        <w:rFonts w:hint="default"/>
        <w:lang w:val="ru-RU" w:eastAsia="en-US" w:bidi="ar-SA"/>
      </w:rPr>
    </w:lvl>
    <w:lvl w:ilvl="4" w:tplc="151634F0">
      <w:numFmt w:val="bullet"/>
      <w:lvlText w:val="•"/>
      <w:lvlJc w:val="left"/>
      <w:pPr>
        <w:ind w:left="3820" w:hanging="140"/>
      </w:pPr>
      <w:rPr>
        <w:rFonts w:hint="default"/>
        <w:lang w:val="ru-RU" w:eastAsia="en-US" w:bidi="ar-SA"/>
      </w:rPr>
    </w:lvl>
    <w:lvl w:ilvl="5" w:tplc="4F68D86A">
      <w:numFmt w:val="bullet"/>
      <w:lvlText w:val="•"/>
      <w:lvlJc w:val="left"/>
      <w:pPr>
        <w:ind w:left="4480" w:hanging="140"/>
      </w:pPr>
      <w:rPr>
        <w:rFonts w:hint="default"/>
        <w:lang w:val="ru-RU" w:eastAsia="en-US" w:bidi="ar-SA"/>
      </w:rPr>
    </w:lvl>
    <w:lvl w:ilvl="6" w:tplc="009EE83E">
      <w:numFmt w:val="bullet"/>
      <w:lvlText w:val="•"/>
      <w:lvlJc w:val="left"/>
      <w:pPr>
        <w:ind w:left="5140" w:hanging="140"/>
      </w:pPr>
      <w:rPr>
        <w:rFonts w:hint="default"/>
        <w:lang w:val="ru-RU" w:eastAsia="en-US" w:bidi="ar-SA"/>
      </w:rPr>
    </w:lvl>
    <w:lvl w:ilvl="7" w:tplc="0E8ED5B4">
      <w:numFmt w:val="bullet"/>
      <w:lvlText w:val="•"/>
      <w:lvlJc w:val="left"/>
      <w:pPr>
        <w:ind w:left="5800" w:hanging="140"/>
      </w:pPr>
      <w:rPr>
        <w:rFonts w:hint="default"/>
        <w:lang w:val="ru-RU" w:eastAsia="en-US" w:bidi="ar-SA"/>
      </w:rPr>
    </w:lvl>
    <w:lvl w:ilvl="8" w:tplc="D7709506">
      <w:numFmt w:val="bullet"/>
      <w:lvlText w:val="•"/>
      <w:lvlJc w:val="left"/>
      <w:pPr>
        <w:ind w:left="6460" w:hanging="140"/>
      </w:pPr>
      <w:rPr>
        <w:rFonts w:hint="default"/>
        <w:lang w:val="ru-RU" w:eastAsia="en-US" w:bidi="ar-SA"/>
      </w:rPr>
    </w:lvl>
  </w:abstractNum>
  <w:abstractNum w:abstractNumId="6" w15:restartNumberingAfterBreak="0">
    <w:nsid w:val="29CF2C17"/>
    <w:multiLevelType w:val="hybridMultilevel"/>
    <w:tmpl w:val="4F0603FA"/>
    <w:lvl w:ilvl="0" w:tplc="01CC2F60">
      <w:start w:val="1"/>
      <w:numFmt w:val="decimal"/>
      <w:lvlText w:val="%1."/>
      <w:lvlJc w:val="left"/>
      <w:pPr>
        <w:ind w:left="383" w:hanging="281"/>
      </w:pPr>
      <w:rPr>
        <w:rFonts w:ascii="Times New Roman" w:eastAsia="Times New Roman" w:hAnsi="Times New Roman" w:cs="Times New Roman" w:hint="default"/>
        <w:w w:val="100"/>
        <w:sz w:val="24"/>
        <w:szCs w:val="24"/>
        <w:lang w:val="ru-RU" w:eastAsia="en-US" w:bidi="ar-SA"/>
      </w:rPr>
    </w:lvl>
    <w:lvl w:ilvl="1" w:tplc="EF32E110">
      <w:numFmt w:val="bullet"/>
      <w:lvlText w:val="•"/>
      <w:lvlJc w:val="left"/>
      <w:pPr>
        <w:ind w:left="1440" w:hanging="281"/>
      </w:pPr>
      <w:rPr>
        <w:rFonts w:hint="default"/>
        <w:lang w:val="ru-RU" w:eastAsia="en-US" w:bidi="ar-SA"/>
      </w:rPr>
    </w:lvl>
    <w:lvl w:ilvl="2" w:tplc="D7D49874">
      <w:numFmt w:val="bullet"/>
      <w:lvlText w:val="•"/>
      <w:lvlJc w:val="left"/>
      <w:pPr>
        <w:ind w:left="2144" w:hanging="281"/>
      </w:pPr>
      <w:rPr>
        <w:rFonts w:hint="default"/>
        <w:lang w:val="ru-RU" w:eastAsia="en-US" w:bidi="ar-SA"/>
      </w:rPr>
    </w:lvl>
    <w:lvl w:ilvl="3" w:tplc="0120AA2E">
      <w:numFmt w:val="bullet"/>
      <w:lvlText w:val="•"/>
      <w:lvlJc w:val="left"/>
      <w:pPr>
        <w:ind w:left="2848" w:hanging="281"/>
      </w:pPr>
      <w:rPr>
        <w:rFonts w:hint="default"/>
        <w:lang w:val="ru-RU" w:eastAsia="en-US" w:bidi="ar-SA"/>
      </w:rPr>
    </w:lvl>
    <w:lvl w:ilvl="4" w:tplc="322E63DC">
      <w:numFmt w:val="bullet"/>
      <w:lvlText w:val="•"/>
      <w:lvlJc w:val="left"/>
      <w:pPr>
        <w:ind w:left="3553" w:hanging="281"/>
      </w:pPr>
      <w:rPr>
        <w:rFonts w:hint="default"/>
        <w:lang w:val="ru-RU" w:eastAsia="en-US" w:bidi="ar-SA"/>
      </w:rPr>
    </w:lvl>
    <w:lvl w:ilvl="5" w:tplc="4C06E89E">
      <w:numFmt w:val="bullet"/>
      <w:lvlText w:val="•"/>
      <w:lvlJc w:val="left"/>
      <w:pPr>
        <w:ind w:left="4257" w:hanging="281"/>
      </w:pPr>
      <w:rPr>
        <w:rFonts w:hint="default"/>
        <w:lang w:val="ru-RU" w:eastAsia="en-US" w:bidi="ar-SA"/>
      </w:rPr>
    </w:lvl>
    <w:lvl w:ilvl="6" w:tplc="76D2D426">
      <w:numFmt w:val="bullet"/>
      <w:lvlText w:val="•"/>
      <w:lvlJc w:val="left"/>
      <w:pPr>
        <w:ind w:left="4962" w:hanging="281"/>
      </w:pPr>
      <w:rPr>
        <w:rFonts w:hint="default"/>
        <w:lang w:val="ru-RU" w:eastAsia="en-US" w:bidi="ar-SA"/>
      </w:rPr>
    </w:lvl>
    <w:lvl w:ilvl="7" w:tplc="3CAACACE">
      <w:numFmt w:val="bullet"/>
      <w:lvlText w:val="•"/>
      <w:lvlJc w:val="left"/>
      <w:pPr>
        <w:ind w:left="5666" w:hanging="281"/>
      </w:pPr>
      <w:rPr>
        <w:rFonts w:hint="default"/>
        <w:lang w:val="ru-RU" w:eastAsia="en-US" w:bidi="ar-SA"/>
      </w:rPr>
    </w:lvl>
    <w:lvl w:ilvl="8" w:tplc="DE5E5A14">
      <w:numFmt w:val="bullet"/>
      <w:lvlText w:val="•"/>
      <w:lvlJc w:val="left"/>
      <w:pPr>
        <w:ind w:left="6371" w:hanging="281"/>
      </w:pPr>
      <w:rPr>
        <w:rFonts w:hint="default"/>
        <w:lang w:val="ru-RU" w:eastAsia="en-US" w:bidi="ar-SA"/>
      </w:rPr>
    </w:lvl>
  </w:abstractNum>
  <w:abstractNum w:abstractNumId="7" w15:restartNumberingAfterBreak="0">
    <w:nsid w:val="32564A7C"/>
    <w:multiLevelType w:val="multilevel"/>
    <w:tmpl w:val="7530244A"/>
    <w:lvl w:ilvl="0">
      <w:start w:val="4"/>
      <w:numFmt w:val="decimal"/>
      <w:lvlText w:val="%1"/>
      <w:lvlJc w:val="left"/>
      <w:pPr>
        <w:ind w:left="1254" w:hanging="363"/>
      </w:pPr>
      <w:rPr>
        <w:rFonts w:hint="default"/>
        <w:lang w:val="ru-RU" w:eastAsia="en-US" w:bidi="ar-SA"/>
      </w:rPr>
    </w:lvl>
    <w:lvl w:ilvl="1">
      <w:start w:val="2"/>
      <w:numFmt w:val="decimal"/>
      <w:lvlText w:val="%1.%2"/>
      <w:lvlJc w:val="left"/>
      <w:pPr>
        <w:ind w:left="1254" w:hanging="363"/>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34" w:hanging="543"/>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328" w:hanging="27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025" w:hanging="272"/>
      </w:pPr>
      <w:rPr>
        <w:rFonts w:hint="default"/>
        <w:lang w:val="ru-RU" w:eastAsia="en-US" w:bidi="ar-SA"/>
      </w:rPr>
    </w:lvl>
    <w:lvl w:ilvl="5">
      <w:numFmt w:val="bullet"/>
      <w:lvlText w:val="•"/>
      <w:lvlJc w:val="left"/>
      <w:pPr>
        <w:ind w:left="3817" w:hanging="272"/>
      </w:pPr>
      <w:rPr>
        <w:rFonts w:hint="default"/>
        <w:lang w:val="ru-RU" w:eastAsia="en-US" w:bidi="ar-SA"/>
      </w:rPr>
    </w:lvl>
    <w:lvl w:ilvl="6">
      <w:numFmt w:val="bullet"/>
      <w:lvlText w:val="•"/>
      <w:lvlJc w:val="left"/>
      <w:pPr>
        <w:ind w:left="4610" w:hanging="272"/>
      </w:pPr>
      <w:rPr>
        <w:rFonts w:hint="default"/>
        <w:lang w:val="ru-RU" w:eastAsia="en-US" w:bidi="ar-SA"/>
      </w:rPr>
    </w:lvl>
    <w:lvl w:ilvl="7">
      <w:numFmt w:val="bullet"/>
      <w:lvlText w:val="•"/>
      <w:lvlJc w:val="left"/>
      <w:pPr>
        <w:ind w:left="5402" w:hanging="272"/>
      </w:pPr>
      <w:rPr>
        <w:rFonts w:hint="default"/>
        <w:lang w:val="ru-RU" w:eastAsia="en-US" w:bidi="ar-SA"/>
      </w:rPr>
    </w:lvl>
    <w:lvl w:ilvl="8">
      <w:numFmt w:val="bullet"/>
      <w:lvlText w:val="•"/>
      <w:lvlJc w:val="left"/>
      <w:pPr>
        <w:ind w:left="6195" w:hanging="272"/>
      </w:pPr>
      <w:rPr>
        <w:rFonts w:hint="default"/>
        <w:lang w:val="ru-RU" w:eastAsia="en-US" w:bidi="ar-SA"/>
      </w:rPr>
    </w:lvl>
  </w:abstractNum>
  <w:abstractNum w:abstractNumId="8" w15:restartNumberingAfterBreak="0">
    <w:nsid w:val="3DA1075A"/>
    <w:multiLevelType w:val="hybridMultilevel"/>
    <w:tmpl w:val="54D00808"/>
    <w:lvl w:ilvl="0" w:tplc="53EAB2B0">
      <w:numFmt w:val="bullet"/>
      <w:lvlText w:val=""/>
      <w:lvlJc w:val="left"/>
      <w:pPr>
        <w:ind w:left="328" w:hanging="281"/>
      </w:pPr>
      <w:rPr>
        <w:rFonts w:ascii="Symbol" w:eastAsia="Symbol" w:hAnsi="Symbol" w:cs="Symbol" w:hint="default"/>
        <w:w w:val="100"/>
        <w:sz w:val="24"/>
        <w:szCs w:val="24"/>
        <w:lang w:val="ru-RU" w:eastAsia="en-US" w:bidi="ar-SA"/>
      </w:rPr>
    </w:lvl>
    <w:lvl w:ilvl="1" w:tplc="BCB01D42">
      <w:numFmt w:val="bullet"/>
      <w:lvlText w:val="•"/>
      <w:lvlJc w:val="left"/>
      <w:pPr>
        <w:ind w:left="1066" w:hanging="281"/>
      </w:pPr>
      <w:rPr>
        <w:rFonts w:hint="default"/>
        <w:lang w:val="ru-RU" w:eastAsia="en-US" w:bidi="ar-SA"/>
      </w:rPr>
    </w:lvl>
    <w:lvl w:ilvl="2" w:tplc="C1CA0228">
      <w:numFmt w:val="bullet"/>
      <w:lvlText w:val="•"/>
      <w:lvlJc w:val="left"/>
      <w:pPr>
        <w:ind w:left="1812" w:hanging="281"/>
      </w:pPr>
      <w:rPr>
        <w:rFonts w:hint="default"/>
        <w:lang w:val="ru-RU" w:eastAsia="en-US" w:bidi="ar-SA"/>
      </w:rPr>
    </w:lvl>
    <w:lvl w:ilvl="3" w:tplc="12EE7C7C">
      <w:numFmt w:val="bullet"/>
      <w:lvlText w:val="•"/>
      <w:lvlJc w:val="left"/>
      <w:pPr>
        <w:ind w:left="2558" w:hanging="281"/>
      </w:pPr>
      <w:rPr>
        <w:rFonts w:hint="default"/>
        <w:lang w:val="ru-RU" w:eastAsia="en-US" w:bidi="ar-SA"/>
      </w:rPr>
    </w:lvl>
    <w:lvl w:ilvl="4" w:tplc="2C562CFC">
      <w:numFmt w:val="bullet"/>
      <w:lvlText w:val="•"/>
      <w:lvlJc w:val="left"/>
      <w:pPr>
        <w:ind w:left="3304" w:hanging="281"/>
      </w:pPr>
      <w:rPr>
        <w:rFonts w:hint="default"/>
        <w:lang w:val="ru-RU" w:eastAsia="en-US" w:bidi="ar-SA"/>
      </w:rPr>
    </w:lvl>
    <w:lvl w:ilvl="5" w:tplc="305EFA02">
      <w:numFmt w:val="bullet"/>
      <w:lvlText w:val="•"/>
      <w:lvlJc w:val="left"/>
      <w:pPr>
        <w:ind w:left="4050" w:hanging="281"/>
      </w:pPr>
      <w:rPr>
        <w:rFonts w:hint="default"/>
        <w:lang w:val="ru-RU" w:eastAsia="en-US" w:bidi="ar-SA"/>
      </w:rPr>
    </w:lvl>
    <w:lvl w:ilvl="6" w:tplc="AC7ECF28">
      <w:numFmt w:val="bullet"/>
      <w:lvlText w:val="•"/>
      <w:lvlJc w:val="left"/>
      <w:pPr>
        <w:ind w:left="4796" w:hanging="281"/>
      </w:pPr>
      <w:rPr>
        <w:rFonts w:hint="default"/>
        <w:lang w:val="ru-RU" w:eastAsia="en-US" w:bidi="ar-SA"/>
      </w:rPr>
    </w:lvl>
    <w:lvl w:ilvl="7" w:tplc="BEC8ABA8">
      <w:numFmt w:val="bullet"/>
      <w:lvlText w:val="•"/>
      <w:lvlJc w:val="left"/>
      <w:pPr>
        <w:ind w:left="5542" w:hanging="281"/>
      </w:pPr>
      <w:rPr>
        <w:rFonts w:hint="default"/>
        <w:lang w:val="ru-RU" w:eastAsia="en-US" w:bidi="ar-SA"/>
      </w:rPr>
    </w:lvl>
    <w:lvl w:ilvl="8" w:tplc="C2364DDC">
      <w:numFmt w:val="bullet"/>
      <w:lvlText w:val="•"/>
      <w:lvlJc w:val="left"/>
      <w:pPr>
        <w:ind w:left="6288" w:hanging="281"/>
      </w:pPr>
      <w:rPr>
        <w:rFonts w:hint="default"/>
        <w:lang w:val="ru-RU" w:eastAsia="en-US" w:bidi="ar-SA"/>
      </w:rPr>
    </w:lvl>
  </w:abstractNum>
  <w:abstractNum w:abstractNumId="9" w15:restartNumberingAfterBreak="0">
    <w:nsid w:val="40AF4601"/>
    <w:multiLevelType w:val="hybridMultilevel"/>
    <w:tmpl w:val="C75A3D72"/>
    <w:lvl w:ilvl="0" w:tplc="C81A43F0">
      <w:start w:val="1"/>
      <w:numFmt w:val="decimal"/>
      <w:lvlText w:val="%1."/>
      <w:lvlJc w:val="left"/>
      <w:pPr>
        <w:ind w:left="328" w:hanging="252"/>
      </w:pPr>
      <w:rPr>
        <w:rFonts w:ascii="Times New Roman" w:eastAsia="Times New Roman" w:hAnsi="Times New Roman" w:cs="Times New Roman" w:hint="default"/>
        <w:w w:val="100"/>
        <w:sz w:val="24"/>
        <w:szCs w:val="24"/>
        <w:lang w:val="ru-RU" w:eastAsia="en-US" w:bidi="ar-SA"/>
      </w:rPr>
    </w:lvl>
    <w:lvl w:ilvl="1" w:tplc="D4E4BE80">
      <w:numFmt w:val="bullet"/>
      <w:lvlText w:val="•"/>
      <w:lvlJc w:val="left"/>
      <w:pPr>
        <w:ind w:left="3220" w:hanging="252"/>
      </w:pPr>
      <w:rPr>
        <w:rFonts w:hint="default"/>
        <w:lang w:val="ru-RU" w:eastAsia="en-US" w:bidi="ar-SA"/>
      </w:rPr>
    </w:lvl>
    <w:lvl w:ilvl="2" w:tplc="B7A2689E">
      <w:numFmt w:val="bullet"/>
      <w:lvlText w:val="•"/>
      <w:lvlJc w:val="left"/>
      <w:pPr>
        <w:ind w:left="3726" w:hanging="252"/>
      </w:pPr>
      <w:rPr>
        <w:rFonts w:hint="default"/>
        <w:lang w:val="ru-RU" w:eastAsia="en-US" w:bidi="ar-SA"/>
      </w:rPr>
    </w:lvl>
    <w:lvl w:ilvl="3" w:tplc="F9549A7E">
      <w:numFmt w:val="bullet"/>
      <w:lvlText w:val="•"/>
      <w:lvlJc w:val="left"/>
      <w:pPr>
        <w:ind w:left="4233" w:hanging="252"/>
      </w:pPr>
      <w:rPr>
        <w:rFonts w:hint="default"/>
        <w:lang w:val="ru-RU" w:eastAsia="en-US" w:bidi="ar-SA"/>
      </w:rPr>
    </w:lvl>
    <w:lvl w:ilvl="4" w:tplc="69A0AE58">
      <w:numFmt w:val="bullet"/>
      <w:lvlText w:val="•"/>
      <w:lvlJc w:val="left"/>
      <w:pPr>
        <w:ind w:left="4740" w:hanging="252"/>
      </w:pPr>
      <w:rPr>
        <w:rFonts w:hint="default"/>
        <w:lang w:val="ru-RU" w:eastAsia="en-US" w:bidi="ar-SA"/>
      </w:rPr>
    </w:lvl>
    <w:lvl w:ilvl="5" w:tplc="00889B4A">
      <w:numFmt w:val="bullet"/>
      <w:lvlText w:val="•"/>
      <w:lvlJc w:val="left"/>
      <w:pPr>
        <w:ind w:left="5246" w:hanging="252"/>
      </w:pPr>
      <w:rPr>
        <w:rFonts w:hint="default"/>
        <w:lang w:val="ru-RU" w:eastAsia="en-US" w:bidi="ar-SA"/>
      </w:rPr>
    </w:lvl>
    <w:lvl w:ilvl="6" w:tplc="F858CCF6">
      <w:numFmt w:val="bullet"/>
      <w:lvlText w:val="•"/>
      <w:lvlJc w:val="left"/>
      <w:pPr>
        <w:ind w:left="5753" w:hanging="252"/>
      </w:pPr>
      <w:rPr>
        <w:rFonts w:hint="default"/>
        <w:lang w:val="ru-RU" w:eastAsia="en-US" w:bidi="ar-SA"/>
      </w:rPr>
    </w:lvl>
    <w:lvl w:ilvl="7" w:tplc="89D07B76">
      <w:numFmt w:val="bullet"/>
      <w:lvlText w:val="•"/>
      <w:lvlJc w:val="left"/>
      <w:pPr>
        <w:ind w:left="6260" w:hanging="252"/>
      </w:pPr>
      <w:rPr>
        <w:rFonts w:hint="default"/>
        <w:lang w:val="ru-RU" w:eastAsia="en-US" w:bidi="ar-SA"/>
      </w:rPr>
    </w:lvl>
    <w:lvl w:ilvl="8" w:tplc="D0FCF5F8">
      <w:numFmt w:val="bullet"/>
      <w:lvlText w:val="•"/>
      <w:lvlJc w:val="left"/>
      <w:pPr>
        <w:ind w:left="6766" w:hanging="252"/>
      </w:pPr>
      <w:rPr>
        <w:rFonts w:hint="default"/>
        <w:lang w:val="ru-RU" w:eastAsia="en-US" w:bidi="ar-SA"/>
      </w:rPr>
    </w:lvl>
  </w:abstractNum>
  <w:abstractNum w:abstractNumId="10" w15:restartNumberingAfterBreak="0">
    <w:nsid w:val="43F37AEB"/>
    <w:multiLevelType w:val="hybridMultilevel"/>
    <w:tmpl w:val="D4984A2E"/>
    <w:lvl w:ilvl="0" w:tplc="35EE7D48">
      <w:start w:val="1"/>
      <w:numFmt w:val="decimal"/>
      <w:lvlText w:val="%1."/>
      <w:lvlJc w:val="left"/>
      <w:pPr>
        <w:ind w:left="328" w:hanging="288"/>
      </w:pPr>
      <w:rPr>
        <w:rFonts w:ascii="Times New Roman" w:eastAsia="Times New Roman" w:hAnsi="Times New Roman" w:cs="Times New Roman" w:hint="default"/>
        <w:w w:val="100"/>
        <w:sz w:val="24"/>
        <w:szCs w:val="24"/>
        <w:lang w:val="ru-RU" w:eastAsia="en-US" w:bidi="ar-SA"/>
      </w:rPr>
    </w:lvl>
    <w:lvl w:ilvl="1" w:tplc="B00C45BA">
      <w:numFmt w:val="bullet"/>
      <w:lvlText w:val="•"/>
      <w:lvlJc w:val="left"/>
      <w:pPr>
        <w:ind w:left="1066" w:hanging="288"/>
      </w:pPr>
      <w:rPr>
        <w:rFonts w:hint="default"/>
        <w:lang w:val="ru-RU" w:eastAsia="en-US" w:bidi="ar-SA"/>
      </w:rPr>
    </w:lvl>
    <w:lvl w:ilvl="2" w:tplc="43265702">
      <w:numFmt w:val="bullet"/>
      <w:lvlText w:val="•"/>
      <w:lvlJc w:val="left"/>
      <w:pPr>
        <w:ind w:left="1812" w:hanging="288"/>
      </w:pPr>
      <w:rPr>
        <w:rFonts w:hint="default"/>
        <w:lang w:val="ru-RU" w:eastAsia="en-US" w:bidi="ar-SA"/>
      </w:rPr>
    </w:lvl>
    <w:lvl w:ilvl="3" w:tplc="3FCAA3C6">
      <w:numFmt w:val="bullet"/>
      <w:lvlText w:val="•"/>
      <w:lvlJc w:val="left"/>
      <w:pPr>
        <w:ind w:left="2558" w:hanging="288"/>
      </w:pPr>
      <w:rPr>
        <w:rFonts w:hint="default"/>
        <w:lang w:val="ru-RU" w:eastAsia="en-US" w:bidi="ar-SA"/>
      </w:rPr>
    </w:lvl>
    <w:lvl w:ilvl="4" w:tplc="8E36139E">
      <w:numFmt w:val="bullet"/>
      <w:lvlText w:val="•"/>
      <w:lvlJc w:val="left"/>
      <w:pPr>
        <w:ind w:left="3304" w:hanging="288"/>
      </w:pPr>
      <w:rPr>
        <w:rFonts w:hint="default"/>
        <w:lang w:val="ru-RU" w:eastAsia="en-US" w:bidi="ar-SA"/>
      </w:rPr>
    </w:lvl>
    <w:lvl w:ilvl="5" w:tplc="ED86B050">
      <w:numFmt w:val="bullet"/>
      <w:lvlText w:val="•"/>
      <w:lvlJc w:val="left"/>
      <w:pPr>
        <w:ind w:left="4050" w:hanging="288"/>
      </w:pPr>
      <w:rPr>
        <w:rFonts w:hint="default"/>
        <w:lang w:val="ru-RU" w:eastAsia="en-US" w:bidi="ar-SA"/>
      </w:rPr>
    </w:lvl>
    <w:lvl w:ilvl="6" w:tplc="79CAAEF4">
      <w:numFmt w:val="bullet"/>
      <w:lvlText w:val="•"/>
      <w:lvlJc w:val="left"/>
      <w:pPr>
        <w:ind w:left="4796" w:hanging="288"/>
      </w:pPr>
      <w:rPr>
        <w:rFonts w:hint="default"/>
        <w:lang w:val="ru-RU" w:eastAsia="en-US" w:bidi="ar-SA"/>
      </w:rPr>
    </w:lvl>
    <w:lvl w:ilvl="7" w:tplc="3F983A7E">
      <w:numFmt w:val="bullet"/>
      <w:lvlText w:val="•"/>
      <w:lvlJc w:val="left"/>
      <w:pPr>
        <w:ind w:left="5542" w:hanging="288"/>
      </w:pPr>
      <w:rPr>
        <w:rFonts w:hint="default"/>
        <w:lang w:val="ru-RU" w:eastAsia="en-US" w:bidi="ar-SA"/>
      </w:rPr>
    </w:lvl>
    <w:lvl w:ilvl="8" w:tplc="4FA6257A">
      <w:numFmt w:val="bullet"/>
      <w:lvlText w:val="•"/>
      <w:lvlJc w:val="left"/>
      <w:pPr>
        <w:ind w:left="6288" w:hanging="288"/>
      </w:pPr>
      <w:rPr>
        <w:rFonts w:hint="default"/>
        <w:lang w:val="ru-RU" w:eastAsia="en-US" w:bidi="ar-SA"/>
      </w:rPr>
    </w:lvl>
  </w:abstractNum>
  <w:abstractNum w:abstractNumId="11" w15:restartNumberingAfterBreak="0">
    <w:nsid w:val="466E3354"/>
    <w:multiLevelType w:val="multilevel"/>
    <w:tmpl w:val="A6DA6AFA"/>
    <w:lvl w:ilvl="0">
      <w:start w:val="4"/>
      <w:numFmt w:val="decimal"/>
      <w:lvlText w:val="%1"/>
      <w:lvlJc w:val="left"/>
      <w:pPr>
        <w:ind w:left="328" w:hanging="792"/>
      </w:pPr>
      <w:rPr>
        <w:rFonts w:hint="default"/>
        <w:lang w:val="ru-RU" w:eastAsia="en-US" w:bidi="ar-SA"/>
      </w:rPr>
    </w:lvl>
    <w:lvl w:ilvl="1">
      <w:start w:val="2"/>
      <w:numFmt w:val="decimal"/>
      <w:lvlText w:val="%1.%2"/>
      <w:lvlJc w:val="left"/>
      <w:pPr>
        <w:ind w:left="328" w:hanging="792"/>
      </w:pPr>
      <w:rPr>
        <w:rFonts w:hint="default"/>
        <w:lang w:val="ru-RU" w:eastAsia="en-US" w:bidi="ar-SA"/>
      </w:rPr>
    </w:lvl>
    <w:lvl w:ilvl="2">
      <w:start w:val="1"/>
      <w:numFmt w:val="decimal"/>
      <w:lvlText w:val="%1.%2.%3"/>
      <w:lvlJc w:val="left"/>
      <w:pPr>
        <w:ind w:left="328" w:hanging="792"/>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558" w:hanging="792"/>
      </w:pPr>
      <w:rPr>
        <w:rFonts w:hint="default"/>
        <w:lang w:val="ru-RU" w:eastAsia="en-US" w:bidi="ar-SA"/>
      </w:rPr>
    </w:lvl>
    <w:lvl w:ilvl="4">
      <w:numFmt w:val="bullet"/>
      <w:lvlText w:val="•"/>
      <w:lvlJc w:val="left"/>
      <w:pPr>
        <w:ind w:left="3304" w:hanging="792"/>
      </w:pPr>
      <w:rPr>
        <w:rFonts w:hint="default"/>
        <w:lang w:val="ru-RU" w:eastAsia="en-US" w:bidi="ar-SA"/>
      </w:rPr>
    </w:lvl>
    <w:lvl w:ilvl="5">
      <w:numFmt w:val="bullet"/>
      <w:lvlText w:val="•"/>
      <w:lvlJc w:val="left"/>
      <w:pPr>
        <w:ind w:left="4050" w:hanging="792"/>
      </w:pPr>
      <w:rPr>
        <w:rFonts w:hint="default"/>
        <w:lang w:val="ru-RU" w:eastAsia="en-US" w:bidi="ar-SA"/>
      </w:rPr>
    </w:lvl>
    <w:lvl w:ilvl="6">
      <w:numFmt w:val="bullet"/>
      <w:lvlText w:val="•"/>
      <w:lvlJc w:val="left"/>
      <w:pPr>
        <w:ind w:left="4796" w:hanging="792"/>
      </w:pPr>
      <w:rPr>
        <w:rFonts w:hint="default"/>
        <w:lang w:val="ru-RU" w:eastAsia="en-US" w:bidi="ar-SA"/>
      </w:rPr>
    </w:lvl>
    <w:lvl w:ilvl="7">
      <w:numFmt w:val="bullet"/>
      <w:lvlText w:val="•"/>
      <w:lvlJc w:val="left"/>
      <w:pPr>
        <w:ind w:left="5542" w:hanging="792"/>
      </w:pPr>
      <w:rPr>
        <w:rFonts w:hint="default"/>
        <w:lang w:val="ru-RU" w:eastAsia="en-US" w:bidi="ar-SA"/>
      </w:rPr>
    </w:lvl>
    <w:lvl w:ilvl="8">
      <w:numFmt w:val="bullet"/>
      <w:lvlText w:val="•"/>
      <w:lvlJc w:val="left"/>
      <w:pPr>
        <w:ind w:left="6288" w:hanging="792"/>
      </w:pPr>
      <w:rPr>
        <w:rFonts w:hint="default"/>
        <w:lang w:val="ru-RU" w:eastAsia="en-US" w:bidi="ar-SA"/>
      </w:rPr>
    </w:lvl>
  </w:abstractNum>
  <w:abstractNum w:abstractNumId="12" w15:restartNumberingAfterBreak="0">
    <w:nsid w:val="47041B77"/>
    <w:multiLevelType w:val="multilevel"/>
    <w:tmpl w:val="D85264C2"/>
    <w:lvl w:ilvl="0">
      <w:start w:val="4"/>
      <w:numFmt w:val="decimal"/>
      <w:lvlText w:val="%1"/>
      <w:lvlJc w:val="left"/>
      <w:pPr>
        <w:ind w:left="1314" w:hanging="423"/>
      </w:pPr>
      <w:rPr>
        <w:rFonts w:hint="default"/>
        <w:lang w:val="ru-RU" w:eastAsia="en-US" w:bidi="ar-SA"/>
      </w:rPr>
    </w:lvl>
    <w:lvl w:ilvl="1">
      <w:start w:val="1"/>
      <w:numFmt w:val="decimal"/>
      <w:lvlText w:val="%1.%2."/>
      <w:lvlJc w:val="left"/>
      <w:pPr>
        <w:ind w:left="1314" w:hanging="423"/>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612" w:hanging="423"/>
      </w:pPr>
      <w:rPr>
        <w:rFonts w:hint="default"/>
        <w:lang w:val="ru-RU" w:eastAsia="en-US" w:bidi="ar-SA"/>
      </w:rPr>
    </w:lvl>
    <w:lvl w:ilvl="3">
      <w:numFmt w:val="bullet"/>
      <w:lvlText w:val="•"/>
      <w:lvlJc w:val="left"/>
      <w:pPr>
        <w:ind w:left="3258" w:hanging="423"/>
      </w:pPr>
      <w:rPr>
        <w:rFonts w:hint="default"/>
        <w:lang w:val="ru-RU" w:eastAsia="en-US" w:bidi="ar-SA"/>
      </w:rPr>
    </w:lvl>
    <w:lvl w:ilvl="4">
      <w:numFmt w:val="bullet"/>
      <w:lvlText w:val="•"/>
      <w:lvlJc w:val="left"/>
      <w:pPr>
        <w:ind w:left="3904" w:hanging="423"/>
      </w:pPr>
      <w:rPr>
        <w:rFonts w:hint="default"/>
        <w:lang w:val="ru-RU" w:eastAsia="en-US" w:bidi="ar-SA"/>
      </w:rPr>
    </w:lvl>
    <w:lvl w:ilvl="5">
      <w:numFmt w:val="bullet"/>
      <w:lvlText w:val="•"/>
      <w:lvlJc w:val="left"/>
      <w:pPr>
        <w:ind w:left="4550" w:hanging="423"/>
      </w:pPr>
      <w:rPr>
        <w:rFonts w:hint="default"/>
        <w:lang w:val="ru-RU" w:eastAsia="en-US" w:bidi="ar-SA"/>
      </w:rPr>
    </w:lvl>
    <w:lvl w:ilvl="6">
      <w:numFmt w:val="bullet"/>
      <w:lvlText w:val="•"/>
      <w:lvlJc w:val="left"/>
      <w:pPr>
        <w:ind w:left="5196" w:hanging="423"/>
      </w:pPr>
      <w:rPr>
        <w:rFonts w:hint="default"/>
        <w:lang w:val="ru-RU" w:eastAsia="en-US" w:bidi="ar-SA"/>
      </w:rPr>
    </w:lvl>
    <w:lvl w:ilvl="7">
      <w:numFmt w:val="bullet"/>
      <w:lvlText w:val="•"/>
      <w:lvlJc w:val="left"/>
      <w:pPr>
        <w:ind w:left="5842" w:hanging="423"/>
      </w:pPr>
      <w:rPr>
        <w:rFonts w:hint="default"/>
        <w:lang w:val="ru-RU" w:eastAsia="en-US" w:bidi="ar-SA"/>
      </w:rPr>
    </w:lvl>
    <w:lvl w:ilvl="8">
      <w:numFmt w:val="bullet"/>
      <w:lvlText w:val="•"/>
      <w:lvlJc w:val="left"/>
      <w:pPr>
        <w:ind w:left="6488" w:hanging="423"/>
      </w:pPr>
      <w:rPr>
        <w:rFonts w:hint="default"/>
        <w:lang w:val="ru-RU" w:eastAsia="en-US" w:bidi="ar-SA"/>
      </w:rPr>
    </w:lvl>
  </w:abstractNum>
  <w:abstractNum w:abstractNumId="13" w15:restartNumberingAfterBreak="0">
    <w:nsid w:val="49A27EF1"/>
    <w:multiLevelType w:val="hybridMultilevel"/>
    <w:tmpl w:val="678E3132"/>
    <w:lvl w:ilvl="0" w:tplc="D82E14DA">
      <w:start w:val="1"/>
      <w:numFmt w:val="decimal"/>
      <w:lvlText w:val="%1."/>
      <w:lvlJc w:val="left"/>
      <w:pPr>
        <w:ind w:left="1180" w:hanging="288"/>
      </w:pPr>
      <w:rPr>
        <w:rFonts w:ascii="Times New Roman" w:eastAsia="Times New Roman" w:hAnsi="Times New Roman" w:cs="Times New Roman" w:hint="default"/>
        <w:w w:val="100"/>
        <w:sz w:val="24"/>
        <w:szCs w:val="24"/>
        <w:lang w:val="ru-RU" w:eastAsia="en-US" w:bidi="ar-SA"/>
      </w:rPr>
    </w:lvl>
    <w:lvl w:ilvl="1" w:tplc="547224B4">
      <w:numFmt w:val="bullet"/>
      <w:lvlText w:val="•"/>
      <w:lvlJc w:val="left"/>
      <w:pPr>
        <w:ind w:left="1840" w:hanging="288"/>
      </w:pPr>
      <w:rPr>
        <w:rFonts w:hint="default"/>
        <w:lang w:val="ru-RU" w:eastAsia="en-US" w:bidi="ar-SA"/>
      </w:rPr>
    </w:lvl>
    <w:lvl w:ilvl="2" w:tplc="6ED0B85A">
      <w:numFmt w:val="bullet"/>
      <w:lvlText w:val="•"/>
      <w:lvlJc w:val="left"/>
      <w:pPr>
        <w:ind w:left="2500" w:hanging="288"/>
      </w:pPr>
      <w:rPr>
        <w:rFonts w:hint="default"/>
        <w:lang w:val="ru-RU" w:eastAsia="en-US" w:bidi="ar-SA"/>
      </w:rPr>
    </w:lvl>
    <w:lvl w:ilvl="3" w:tplc="C7B029EC">
      <w:numFmt w:val="bullet"/>
      <w:lvlText w:val="•"/>
      <w:lvlJc w:val="left"/>
      <w:pPr>
        <w:ind w:left="3160" w:hanging="288"/>
      </w:pPr>
      <w:rPr>
        <w:rFonts w:hint="default"/>
        <w:lang w:val="ru-RU" w:eastAsia="en-US" w:bidi="ar-SA"/>
      </w:rPr>
    </w:lvl>
    <w:lvl w:ilvl="4" w:tplc="91107970">
      <w:numFmt w:val="bullet"/>
      <w:lvlText w:val="•"/>
      <w:lvlJc w:val="left"/>
      <w:pPr>
        <w:ind w:left="3820" w:hanging="288"/>
      </w:pPr>
      <w:rPr>
        <w:rFonts w:hint="default"/>
        <w:lang w:val="ru-RU" w:eastAsia="en-US" w:bidi="ar-SA"/>
      </w:rPr>
    </w:lvl>
    <w:lvl w:ilvl="5" w:tplc="2A3EDDEE">
      <w:numFmt w:val="bullet"/>
      <w:lvlText w:val="•"/>
      <w:lvlJc w:val="left"/>
      <w:pPr>
        <w:ind w:left="4480" w:hanging="288"/>
      </w:pPr>
      <w:rPr>
        <w:rFonts w:hint="default"/>
        <w:lang w:val="ru-RU" w:eastAsia="en-US" w:bidi="ar-SA"/>
      </w:rPr>
    </w:lvl>
    <w:lvl w:ilvl="6" w:tplc="7AF81626">
      <w:numFmt w:val="bullet"/>
      <w:lvlText w:val="•"/>
      <w:lvlJc w:val="left"/>
      <w:pPr>
        <w:ind w:left="5140" w:hanging="288"/>
      </w:pPr>
      <w:rPr>
        <w:rFonts w:hint="default"/>
        <w:lang w:val="ru-RU" w:eastAsia="en-US" w:bidi="ar-SA"/>
      </w:rPr>
    </w:lvl>
    <w:lvl w:ilvl="7" w:tplc="0BC28AE0">
      <w:numFmt w:val="bullet"/>
      <w:lvlText w:val="•"/>
      <w:lvlJc w:val="left"/>
      <w:pPr>
        <w:ind w:left="5800" w:hanging="288"/>
      </w:pPr>
      <w:rPr>
        <w:rFonts w:hint="default"/>
        <w:lang w:val="ru-RU" w:eastAsia="en-US" w:bidi="ar-SA"/>
      </w:rPr>
    </w:lvl>
    <w:lvl w:ilvl="8" w:tplc="250EFD78">
      <w:numFmt w:val="bullet"/>
      <w:lvlText w:val="•"/>
      <w:lvlJc w:val="left"/>
      <w:pPr>
        <w:ind w:left="6460" w:hanging="288"/>
      </w:pPr>
      <w:rPr>
        <w:rFonts w:hint="default"/>
        <w:lang w:val="ru-RU" w:eastAsia="en-US" w:bidi="ar-SA"/>
      </w:rPr>
    </w:lvl>
  </w:abstractNum>
  <w:abstractNum w:abstractNumId="14" w15:restartNumberingAfterBreak="0">
    <w:nsid w:val="4C900835"/>
    <w:multiLevelType w:val="hybridMultilevel"/>
    <w:tmpl w:val="F1CCCC5A"/>
    <w:lvl w:ilvl="0" w:tplc="1E5E5084">
      <w:start w:val="1"/>
      <w:numFmt w:val="decimal"/>
      <w:lvlText w:val="%1."/>
      <w:lvlJc w:val="left"/>
      <w:pPr>
        <w:ind w:left="328" w:hanging="288"/>
        <w:jc w:val="right"/>
      </w:pPr>
      <w:rPr>
        <w:rFonts w:hint="default"/>
        <w:w w:val="100"/>
        <w:lang w:val="ru-RU" w:eastAsia="en-US" w:bidi="ar-SA"/>
      </w:rPr>
    </w:lvl>
    <w:lvl w:ilvl="1" w:tplc="67C8F6D8">
      <w:numFmt w:val="bullet"/>
      <w:lvlText w:val="•"/>
      <w:lvlJc w:val="left"/>
      <w:pPr>
        <w:ind w:left="1066" w:hanging="288"/>
      </w:pPr>
      <w:rPr>
        <w:rFonts w:hint="default"/>
        <w:lang w:val="ru-RU" w:eastAsia="en-US" w:bidi="ar-SA"/>
      </w:rPr>
    </w:lvl>
    <w:lvl w:ilvl="2" w:tplc="75F25E9C">
      <w:numFmt w:val="bullet"/>
      <w:lvlText w:val="•"/>
      <w:lvlJc w:val="left"/>
      <w:pPr>
        <w:ind w:left="1812" w:hanging="288"/>
      </w:pPr>
      <w:rPr>
        <w:rFonts w:hint="default"/>
        <w:lang w:val="ru-RU" w:eastAsia="en-US" w:bidi="ar-SA"/>
      </w:rPr>
    </w:lvl>
    <w:lvl w:ilvl="3" w:tplc="0C36C39C">
      <w:numFmt w:val="bullet"/>
      <w:lvlText w:val="•"/>
      <w:lvlJc w:val="left"/>
      <w:pPr>
        <w:ind w:left="2558" w:hanging="288"/>
      </w:pPr>
      <w:rPr>
        <w:rFonts w:hint="default"/>
        <w:lang w:val="ru-RU" w:eastAsia="en-US" w:bidi="ar-SA"/>
      </w:rPr>
    </w:lvl>
    <w:lvl w:ilvl="4" w:tplc="CC825620">
      <w:numFmt w:val="bullet"/>
      <w:lvlText w:val="•"/>
      <w:lvlJc w:val="left"/>
      <w:pPr>
        <w:ind w:left="3304" w:hanging="288"/>
      </w:pPr>
      <w:rPr>
        <w:rFonts w:hint="default"/>
        <w:lang w:val="ru-RU" w:eastAsia="en-US" w:bidi="ar-SA"/>
      </w:rPr>
    </w:lvl>
    <w:lvl w:ilvl="5" w:tplc="8BC69894">
      <w:numFmt w:val="bullet"/>
      <w:lvlText w:val="•"/>
      <w:lvlJc w:val="left"/>
      <w:pPr>
        <w:ind w:left="4050" w:hanging="288"/>
      </w:pPr>
      <w:rPr>
        <w:rFonts w:hint="default"/>
        <w:lang w:val="ru-RU" w:eastAsia="en-US" w:bidi="ar-SA"/>
      </w:rPr>
    </w:lvl>
    <w:lvl w:ilvl="6" w:tplc="F41203B2">
      <w:numFmt w:val="bullet"/>
      <w:lvlText w:val="•"/>
      <w:lvlJc w:val="left"/>
      <w:pPr>
        <w:ind w:left="4796" w:hanging="288"/>
      </w:pPr>
      <w:rPr>
        <w:rFonts w:hint="default"/>
        <w:lang w:val="ru-RU" w:eastAsia="en-US" w:bidi="ar-SA"/>
      </w:rPr>
    </w:lvl>
    <w:lvl w:ilvl="7" w:tplc="38DEE600">
      <w:numFmt w:val="bullet"/>
      <w:lvlText w:val="•"/>
      <w:lvlJc w:val="left"/>
      <w:pPr>
        <w:ind w:left="5542" w:hanging="288"/>
      </w:pPr>
      <w:rPr>
        <w:rFonts w:hint="default"/>
        <w:lang w:val="ru-RU" w:eastAsia="en-US" w:bidi="ar-SA"/>
      </w:rPr>
    </w:lvl>
    <w:lvl w:ilvl="8" w:tplc="29085DB8">
      <w:numFmt w:val="bullet"/>
      <w:lvlText w:val="•"/>
      <w:lvlJc w:val="left"/>
      <w:pPr>
        <w:ind w:left="6288" w:hanging="288"/>
      </w:pPr>
      <w:rPr>
        <w:rFonts w:hint="default"/>
        <w:lang w:val="ru-RU" w:eastAsia="en-US" w:bidi="ar-SA"/>
      </w:rPr>
    </w:lvl>
  </w:abstractNum>
  <w:abstractNum w:abstractNumId="15" w15:restartNumberingAfterBreak="0">
    <w:nsid w:val="5DD44C92"/>
    <w:multiLevelType w:val="hybridMultilevel"/>
    <w:tmpl w:val="9B463CA0"/>
    <w:lvl w:ilvl="0" w:tplc="2B304DE6">
      <w:start w:val="1"/>
      <w:numFmt w:val="decimal"/>
      <w:lvlText w:val="%1)"/>
      <w:lvlJc w:val="left"/>
      <w:pPr>
        <w:ind w:left="328" w:hanging="298"/>
      </w:pPr>
      <w:rPr>
        <w:rFonts w:ascii="Times New Roman" w:eastAsia="Times New Roman" w:hAnsi="Times New Roman" w:cs="Times New Roman" w:hint="default"/>
        <w:w w:val="99"/>
        <w:sz w:val="24"/>
        <w:szCs w:val="24"/>
        <w:lang w:val="ru-RU" w:eastAsia="en-US" w:bidi="ar-SA"/>
      </w:rPr>
    </w:lvl>
    <w:lvl w:ilvl="1" w:tplc="F72E30BC">
      <w:numFmt w:val="bullet"/>
      <w:lvlText w:val="•"/>
      <w:lvlJc w:val="left"/>
      <w:pPr>
        <w:ind w:left="1066" w:hanging="298"/>
      </w:pPr>
      <w:rPr>
        <w:rFonts w:hint="default"/>
        <w:lang w:val="ru-RU" w:eastAsia="en-US" w:bidi="ar-SA"/>
      </w:rPr>
    </w:lvl>
    <w:lvl w:ilvl="2" w:tplc="F782BA8A">
      <w:numFmt w:val="bullet"/>
      <w:lvlText w:val="•"/>
      <w:lvlJc w:val="left"/>
      <w:pPr>
        <w:ind w:left="1812" w:hanging="298"/>
      </w:pPr>
      <w:rPr>
        <w:rFonts w:hint="default"/>
        <w:lang w:val="ru-RU" w:eastAsia="en-US" w:bidi="ar-SA"/>
      </w:rPr>
    </w:lvl>
    <w:lvl w:ilvl="3" w:tplc="B96863B4">
      <w:numFmt w:val="bullet"/>
      <w:lvlText w:val="•"/>
      <w:lvlJc w:val="left"/>
      <w:pPr>
        <w:ind w:left="2558" w:hanging="298"/>
      </w:pPr>
      <w:rPr>
        <w:rFonts w:hint="default"/>
        <w:lang w:val="ru-RU" w:eastAsia="en-US" w:bidi="ar-SA"/>
      </w:rPr>
    </w:lvl>
    <w:lvl w:ilvl="4" w:tplc="88D8426C">
      <w:numFmt w:val="bullet"/>
      <w:lvlText w:val="•"/>
      <w:lvlJc w:val="left"/>
      <w:pPr>
        <w:ind w:left="3304" w:hanging="298"/>
      </w:pPr>
      <w:rPr>
        <w:rFonts w:hint="default"/>
        <w:lang w:val="ru-RU" w:eastAsia="en-US" w:bidi="ar-SA"/>
      </w:rPr>
    </w:lvl>
    <w:lvl w:ilvl="5" w:tplc="BE2EA588">
      <w:numFmt w:val="bullet"/>
      <w:lvlText w:val="•"/>
      <w:lvlJc w:val="left"/>
      <w:pPr>
        <w:ind w:left="4050" w:hanging="298"/>
      </w:pPr>
      <w:rPr>
        <w:rFonts w:hint="default"/>
        <w:lang w:val="ru-RU" w:eastAsia="en-US" w:bidi="ar-SA"/>
      </w:rPr>
    </w:lvl>
    <w:lvl w:ilvl="6" w:tplc="FEF49BCE">
      <w:numFmt w:val="bullet"/>
      <w:lvlText w:val="•"/>
      <w:lvlJc w:val="left"/>
      <w:pPr>
        <w:ind w:left="4796" w:hanging="298"/>
      </w:pPr>
      <w:rPr>
        <w:rFonts w:hint="default"/>
        <w:lang w:val="ru-RU" w:eastAsia="en-US" w:bidi="ar-SA"/>
      </w:rPr>
    </w:lvl>
    <w:lvl w:ilvl="7" w:tplc="A392CB30">
      <w:numFmt w:val="bullet"/>
      <w:lvlText w:val="•"/>
      <w:lvlJc w:val="left"/>
      <w:pPr>
        <w:ind w:left="5542" w:hanging="298"/>
      </w:pPr>
      <w:rPr>
        <w:rFonts w:hint="default"/>
        <w:lang w:val="ru-RU" w:eastAsia="en-US" w:bidi="ar-SA"/>
      </w:rPr>
    </w:lvl>
    <w:lvl w:ilvl="8" w:tplc="9ED2745C">
      <w:numFmt w:val="bullet"/>
      <w:lvlText w:val="•"/>
      <w:lvlJc w:val="left"/>
      <w:pPr>
        <w:ind w:left="6288" w:hanging="298"/>
      </w:pPr>
      <w:rPr>
        <w:rFonts w:hint="default"/>
        <w:lang w:val="ru-RU" w:eastAsia="en-US" w:bidi="ar-SA"/>
      </w:rPr>
    </w:lvl>
  </w:abstractNum>
  <w:abstractNum w:abstractNumId="16" w15:restartNumberingAfterBreak="0">
    <w:nsid w:val="5EC90C3D"/>
    <w:multiLevelType w:val="hybridMultilevel"/>
    <w:tmpl w:val="59488EC2"/>
    <w:lvl w:ilvl="0" w:tplc="428EA0FA">
      <w:numFmt w:val="bullet"/>
      <w:lvlText w:val="–"/>
      <w:lvlJc w:val="left"/>
      <w:pPr>
        <w:ind w:left="328" w:hanging="228"/>
      </w:pPr>
      <w:rPr>
        <w:rFonts w:hint="default"/>
        <w:w w:val="100"/>
        <w:lang w:val="ru-RU" w:eastAsia="en-US" w:bidi="ar-SA"/>
      </w:rPr>
    </w:lvl>
    <w:lvl w:ilvl="1" w:tplc="2C949F36">
      <w:numFmt w:val="bullet"/>
      <w:lvlText w:val="•"/>
      <w:lvlJc w:val="left"/>
      <w:pPr>
        <w:ind w:left="1066" w:hanging="228"/>
      </w:pPr>
      <w:rPr>
        <w:rFonts w:hint="default"/>
        <w:lang w:val="ru-RU" w:eastAsia="en-US" w:bidi="ar-SA"/>
      </w:rPr>
    </w:lvl>
    <w:lvl w:ilvl="2" w:tplc="5B9CD096">
      <w:numFmt w:val="bullet"/>
      <w:lvlText w:val="•"/>
      <w:lvlJc w:val="left"/>
      <w:pPr>
        <w:ind w:left="1812" w:hanging="228"/>
      </w:pPr>
      <w:rPr>
        <w:rFonts w:hint="default"/>
        <w:lang w:val="ru-RU" w:eastAsia="en-US" w:bidi="ar-SA"/>
      </w:rPr>
    </w:lvl>
    <w:lvl w:ilvl="3" w:tplc="8460F71E">
      <w:numFmt w:val="bullet"/>
      <w:lvlText w:val="•"/>
      <w:lvlJc w:val="left"/>
      <w:pPr>
        <w:ind w:left="2558" w:hanging="228"/>
      </w:pPr>
      <w:rPr>
        <w:rFonts w:hint="default"/>
        <w:lang w:val="ru-RU" w:eastAsia="en-US" w:bidi="ar-SA"/>
      </w:rPr>
    </w:lvl>
    <w:lvl w:ilvl="4" w:tplc="FF0C1A44">
      <w:numFmt w:val="bullet"/>
      <w:lvlText w:val="•"/>
      <w:lvlJc w:val="left"/>
      <w:pPr>
        <w:ind w:left="3304" w:hanging="228"/>
      </w:pPr>
      <w:rPr>
        <w:rFonts w:hint="default"/>
        <w:lang w:val="ru-RU" w:eastAsia="en-US" w:bidi="ar-SA"/>
      </w:rPr>
    </w:lvl>
    <w:lvl w:ilvl="5" w:tplc="E348C59E">
      <w:numFmt w:val="bullet"/>
      <w:lvlText w:val="•"/>
      <w:lvlJc w:val="left"/>
      <w:pPr>
        <w:ind w:left="4050" w:hanging="228"/>
      </w:pPr>
      <w:rPr>
        <w:rFonts w:hint="default"/>
        <w:lang w:val="ru-RU" w:eastAsia="en-US" w:bidi="ar-SA"/>
      </w:rPr>
    </w:lvl>
    <w:lvl w:ilvl="6" w:tplc="B120CCA8">
      <w:numFmt w:val="bullet"/>
      <w:lvlText w:val="•"/>
      <w:lvlJc w:val="left"/>
      <w:pPr>
        <w:ind w:left="4796" w:hanging="228"/>
      </w:pPr>
      <w:rPr>
        <w:rFonts w:hint="default"/>
        <w:lang w:val="ru-RU" w:eastAsia="en-US" w:bidi="ar-SA"/>
      </w:rPr>
    </w:lvl>
    <w:lvl w:ilvl="7" w:tplc="D02A657A">
      <w:numFmt w:val="bullet"/>
      <w:lvlText w:val="•"/>
      <w:lvlJc w:val="left"/>
      <w:pPr>
        <w:ind w:left="5542" w:hanging="228"/>
      </w:pPr>
      <w:rPr>
        <w:rFonts w:hint="default"/>
        <w:lang w:val="ru-RU" w:eastAsia="en-US" w:bidi="ar-SA"/>
      </w:rPr>
    </w:lvl>
    <w:lvl w:ilvl="8" w:tplc="51BAA33C">
      <w:numFmt w:val="bullet"/>
      <w:lvlText w:val="•"/>
      <w:lvlJc w:val="left"/>
      <w:pPr>
        <w:ind w:left="6288" w:hanging="228"/>
      </w:pPr>
      <w:rPr>
        <w:rFonts w:hint="default"/>
        <w:lang w:val="ru-RU" w:eastAsia="en-US" w:bidi="ar-SA"/>
      </w:rPr>
    </w:lvl>
  </w:abstractNum>
  <w:abstractNum w:abstractNumId="17" w15:restartNumberingAfterBreak="0">
    <w:nsid w:val="6111222C"/>
    <w:multiLevelType w:val="hybridMultilevel"/>
    <w:tmpl w:val="5254C79A"/>
    <w:lvl w:ilvl="0" w:tplc="D7AEB0E4">
      <w:start w:val="1"/>
      <w:numFmt w:val="decimal"/>
      <w:lvlText w:val="%1."/>
      <w:lvlJc w:val="left"/>
      <w:pPr>
        <w:ind w:left="1180" w:hanging="288"/>
      </w:pPr>
      <w:rPr>
        <w:rFonts w:ascii="Times New Roman" w:eastAsia="Times New Roman" w:hAnsi="Times New Roman" w:cs="Times New Roman" w:hint="default"/>
        <w:w w:val="100"/>
        <w:sz w:val="24"/>
        <w:szCs w:val="24"/>
        <w:lang w:val="ru-RU" w:eastAsia="en-US" w:bidi="ar-SA"/>
      </w:rPr>
    </w:lvl>
    <w:lvl w:ilvl="1" w:tplc="94228718">
      <w:start w:val="1"/>
      <w:numFmt w:val="decimal"/>
      <w:lvlText w:val="%2."/>
      <w:lvlJc w:val="left"/>
      <w:pPr>
        <w:ind w:left="1398" w:hanging="363"/>
      </w:pPr>
      <w:rPr>
        <w:rFonts w:ascii="Times New Roman" w:eastAsia="Times New Roman" w:hAnsi="Times New Roman" w:cs="Times New Roman" w:hint="default"/>
        <w:w w:val="100"/>
        <w:sz w:val="24"/>
        <w:szCs w:val="24"/>
        <w:lang w:val="ru-RU" w:eastAsia="en-US" w:bidi="ar-SA"/>
      </w:rPr>
    </w:lvl>
    <w:lvl w:ilvl="2" w:tplc="4B242CEC">
      <w:numFmt w:val="bullet"/>
      <w:lvlText w:val="•"/>
      <w:lvlJc w:val="left"/>
      <w:pPr>
        <w:ind w:left="2108" w:hanging="363"/>
      </w:pPr>
      <w:rPr>
        <w:rFonts w:hint="default"/>
        <w:lang w:val="ru-RU" w:eastAsia="en-US" w:bidi="ar-SA"/>
      </w:rPr>
    </w:lvl>
    <w:lvl w:ilvl="3" w:tplc="B18CB4AA">
      <w:numFmt w:val="bullet"/>
      <w:lvlText w:val="•"/>
      <w:lvlJc w:val="left"/>
      <w:pPr>
        <w:ind w:left="2817" w:hanging="363"/>
      </w:pPr>
      <w:rPr>
        <w:rFonts w:hint="default"/>
        <w:lang w:val="ru-RU" w:eastAsia="en-US" w:bidi="ar-SA"/>
      </w:rPr>
    </w:lvl>
    <w:lvl w:ilvl="4" w:tplc="4A840D40">
      <w:numFmt w:val="bullet"/>
      <w:lvlText w:val="•"/>
      <w:lvlJc w:val="left"/>
      <w:pPr>
        <w:ind w:left="3526" w:hanging="363"/>
      </w:pPr>
      <w:rPr>
        <w:rFonts w:hint="default"/>
        <w:lang w:val="ru-RU" w:eastAsia="en-US" w:bidi="ar-SA"/>
      </w:rPr>
    </w:lvl>
    <w:lvl w:ilvl="5" w:tplc="9C0E2A80">
      <w:numFmt w:val="bullet"/>
      <w:lvlText w:val="•"/>
      <w:lvlJc w:val="left"/>
      <w:pPr>
        <w:ind w:left="4235" w:hanging="363"/>
      </w:pPr>
      <w:rPr>
        <w:rFonts w:hint="default"/>
        <w:lang w:val="ru-RU" w:eastAsia="en-US" w:bidi="ar-SA"/>
      </w:rPr>
    </w:lvl>
    <w:lvl w:ilvl="6" w:tplc="B8820C4E">
      <w:numFmt w:val="bullet"/>
      <w:lvlText w:val="•"/>
      <w:lvlJc w:val="left"/>
      <w:pPr>
        <w:ind w:left="4944" w:hanging="363"/>
      </w:pPr>
      <w:rPr>
        <w:rFonts w:hint="default"/>
        <w:lang w:val="ru-RU" w:eastAsia="en-US" w:bidi="ar-SA"/>
      </w:rPr>
    </w:lvl>
    <w:lvl w:ilvl="7" w:tplc="8A2E67F6">
      <w:numFmt w:val="bullet"/>
      <w:lvlText w:val="•"/>
      <w:lvlJc w:val="left"/>
      <w:pPr>
        <w:ind w:left="5653" w:hanging="363"/>
      </w:pPr>
      <w:rPr>
        <w:rFonts w:hint="default"/>
        <w:lang w:val="ru-RU" w:eastAsia="en-US" w:bidi="ar-SA"/>
      </w:rPr>
    </w:lvl>
    <w:lvl w:ilvl="8" w:tplc="BDEC9428">
      <w:numFmt w:val="bullet"/>
      <w:lvlText w:val="•"/>
      <w:lvlJc w:val="left"/>
      <w:pPr>
        <w:ind w:left="6362" w:hanging="363"/>
      </w:pPr>
      <w:rPr>
        <w:rFonts w:hint="default"/>
        <w:lang w:val="ru-RU" w:eastAsia="en-US" w:bidi="ar-SA"/>
      </w:rPr>
    </w:lvl>
  </w:abstractNum>
  <w:abstractNum w:abstractNumId="18" w15:restartNumberingAfterBreak="0">
    <w:nsid w:val="668C5DC9"/>
    <w:multiLevelType w:val="hybridMultilevel"/>
    <w:tmpl w:val="62A25522"/>
    <w:lvl w:ilvl="0" w:tplc="74EAC95A">
      <w:start w:val="1"/>
      <w:numFmt w:val="decimal"/>
      <w:lvlText w:val="%1."/>
      <w:lvlJc w:val="left"/>
      <w:pPr>
        <w:ind w:left="1180" w:hanging="288"/>
      </w:pPr>
      <w:rPr>
        <w:rFonts w:ascii="Times New Roman" w:eastAsia="Times New Roman" w:hAnsi="Times New Roman" w:cs="Times New Roman" w:hint="default"/>
        <w:w w:val="100"/>
        <w:sz w:val="24"/>
        <w:szCs w:val="24"/>
        <w:lang w:val="ru-RU" w:eastAsia="en-US" w:bidi="ar-SA"/>
      </w:rPr>
    </w:lvl>
    <w:lvl w:ilvl="1" w:tplc="116E2ED8">
      <w:start w:val="3"/>
      <w:numFmt w:val="decimal"/>
      <w:lvlText w:val="%2."/>
      <w:lvlJc w:val="left"/>
      <w:pPr>
        <w:ind w:left="2630" w:hanging="240"/>
        <w:jc w:val="right"/>
      </w:pPr>
      <w:rPr>
        <w:rFonts w:ascii="Times New Roman" w:eastAsia="Times New Roman" w:hAnsi="Times New Roman" w:cs="Times New Roman" w:hint="default"/>
        <w:b/>
        <w:bCs/>
        <w:w w:val="100"/>
        <w:sz w:val="24"/>
        <w:szCs w:val="24"/>
        <w:lang w:val="ru-RU" w:eastAsia="en-US" w:bidi="ar-SA"/>
      </w:rPr>
    </w:lvl>
    <w:lvl w:ilvl="2" w:tplc="82187246">
      <w:numFmt w:val="bullet"/>
      <w:lvlText w:val="•"/>
      <w:lvlJc w:val="left"/>
      <w:pPr>
        <w:ind w:left="3211" w:hanging="240"/>
      </w:pPr>
      <w:rPr>
        <w:rFonts w:hint="default"/>
        <w:lang w:val="ru-RU" w:eastAsia="en-US" w:bidi="ar-SA"/>
      </w:rPr>
    </w:lvl>
    <w:lvl w:ilvl="3" w:tplc="4AF0476A">
      <w:numFmt w:val="bullet"/>
      <w:lvlText w:val="•"/>
      <w:lvlJc w:val="left"/>
      <w:pPr>
        <w:ind w:left="3782" w:hanging="240"/>
      </w:pPr>
      <w:rPr>
        <w:rFonts w:hint="default"/>
        <w:lang w:val="ru-RU" w:eastAsia="en-US" w:bidi="ar-SA"/>
      </w:rPr>
    </w:lvl>
    <w:lvl w:ilvl="4" w:tplc="12D4A1E6">
      <w:numFmt w:val="bullet"/>
      <w:lvlText w:val="•"/>
      <w:lvlJc w:val="left"/>
      <w:pPr>
        <w:ind w:left="4353" w:hanging="240"/>
      </w:pPr>
      <w:rPr>
        <w:rFonts w:hint="default"/>
        <w:lang w:val="ru-RU" w:eastAsia="en-US" w:bidi="ar-SA"/>
      </w:rPr>
    </w:lvl>
    <w:lvl w:ilvl="5" w:tplc="A1888758">
      <w:numFmt w:val="bullet"/>
      <w:lvlText w:val="•"/>
      <w:lvlJc w:val="left"/>
      <w:pPr>
        <w:ind w:left="4924" w:hanging="240"/>
      </w:pPr>
      <w:rPr>
        <w:rFonts w:hint="default"/>
        <w:lang w:val="ru-RU" w:eastAsia="en-US" w:bidi="ar-SA"/>
      </w:rPr>
    </w:lvl>
    <w:lvl w:ilvl="6" w:tplc="9A1819CC">
      <w:numFmt w:val="bullet"/>
      <w:lvlText w:val="•"/>
      <w:lvlJc w:val="left"/>
      <w:pPr>
        <w:ind w:left="5495" w:hanging="240"/>
      </w:pPr>
      <w:rPr>
        <w:rFonts w:hint="default"/>
        <w:lang w:val="ru-RU" w:eastAsia="en-US" w:bidi="ar-SA"/>
      </w:rPr>
    </w:lvl>
    <w:lvl w:ilvl="7" w:tplc="FCA6FC26">
      <w:numFmt w:val="bullet"/>
      <w:lvlText w:val="•"/>
      <w:lvlJc w:val="left"/>
      <w:pPr>
        <w:ind w:left="6066" w:hanging="240"/>
      </w:pPr>
      <w:rPr>
        <w:rFonts w:hint="default"/>
        <w:lang w:val="ru-RU" w:eastAsia="en-US" w:bidi="ar-SA"/>
      </w:rPr>
    </w:lvl>
    <w:lvl w:ilvl="8" w:tplc="08A608A8">
      <w:numFmt w:val="bullet"/>
      <w:lvlText w:val="•"/>
      <w:lvlJc w:val="left"/>
      <w:pPr>
        <w:ind w:left="6637" w:hanging="240"/>
      </w:pPr>
      <w:rPr>
        <w:rFonts w:hint="default"/>
        <w:lang w:val="ru-RU" w:eastAsia="en-US" w:bidi="ar-SA"/>
      </w:rPr>
    </w:lvl>
  </w:abstractNum>
  <w:abstractNum w:abstractNumId="19" w15:restartNumberingAfterBreak="0">
    <w:nsid w:val="6DD84FB4"/>
    <w:multiLevelType w:val="hybridMultilevel"/>
    <w:tmpl w:val="E9506356"/>
    <w:lvl w:ilvl="0" w:tplc="63AE6560">
      <w:start w:val="1"/>
      <w:numFmt w:val="decimal"/>
      <w:lvlText w:val="%1."/>
      <w:lvlJc w:val="left"/>
      <w:pPr>
        <w:ind w:left="568" w:hanging="241"/>
      </w:pPr>
      <w:rPr>
        <w:rFonts w:ascii="Times New Roman" w:eastAsia="Times New Roman" w:hAnsi="Times New Roman" w:cs="Times New Roman" w:hint="default"/>
        <w:w w:val="100"/>
        <w:sz w:val="24"/>
        <w:szCs w:val="24"/>
        <w:lang w:val="ru-RU" w:eastAsia="en-US" w:bidi="ar-SA"/>
      </w:rPr>
    </w:lvl>
    <w:lvl w:ilvl="1" w:tplc="9D5E8E06">
      <w:start w:val="1"/>
      <w:numFmt w:val="decimal"/>
      <w:lvlText w:val="%2."/>
      <w:lvlJc w:val="left"/>
      <w:pPr>
        <w:ind w:left="3348" w:hanging="240"/>
        <w:jc w:val="right"/>
      </w:pPr>
      <w:rPr>
        <w:rFonts w:ascii="Times New Roman" w:eastAsia="Times New Roman" w:hAnsi="Times New Roman" w:cs="Times New Roman" w:hint="default"/>
        <w:b/>
        <w:bCs/>
        <w:w w:val="100"/>
        <w:sz w:val="24"/>
        <w:szCs w:val="24"/>
        <w:lang w:val="ru-RU" w:eastAsia="en-US" w:bidi="ar-SA"/>
      </w:rPr>
    </w:lvl>
    <w:lvl w:ilvl="2" w:tplc="16E81850">
      <w:numFmt w:val="bullet"/>
      <w:lvlText w:val="•"/>
      <w:lvlJc w:val="left"/>
      <w:pPr>
        <w:ind w:left="3833" w:hanging="240"/>
      </w:pPr>
      <w:rPr>
        <w:rFonts w:hint="default"/>
        <w:lang w:val="ru-RU" w:eastAsia="en-US" w:bidi="ar-SA"/>
      </w:rPr>
    </w:lvl>
    <w:lvl w:ilvl="3" w:tplc="3D9E6BA2">
      <w:numFmt w:val="bullet"/>
      <w:lvlText w:val="•"/>
      <w:lvlJc w:val="left"/>
      <w:pPr>
        <w:ind w:left="4326" w:hanging="240"/>
      </w:pPr>
      <w:rPr>
        <w:rFonts w:hint="default"/>
        <w:lang w:val="ru-RU" w:eastAsia="en-US" w:bidi="ar-SA"/>
      </w:rPr>
    </w:lvl>
    <w:lvl w:ilvl="4" w:tplc="ADE6BC50">
      <w:numFmt w:val="bullet"/>
      <w:lvlText w:val="•"/>
      <w:lvlJc w:val="left"/>
      <w:pPr>
        <w:ind w:left="4820" w:hanging="240"/>
      </w:pPr>
      <w:rPr>
        <w:rFonts w:hint="default"/>
        <w:lang w:val="ru-RU" w:eastAsia="en-US" w:bidi="ar-SA"/>
      </w:rPr>
    </w:lvl>
    <w:lvl w:ilvl="5" w:tplc="C758FC1C">
      <w:numFmt w:val="bullet"/>
      <w:lvlText w:val="•"/>
      <w:lvlJc w:val="left"/>
      <w:pPr>
        <w:ind w:left="5313" w:hanging="240"/>
      </w:pPr>
      <w:rPr>
        <w:rFonts w:hint="default"/>
        <w:lang w:val="ru-RU" w:eastAsia="en-US" w:bidi="ar-SA"/>
      </w:rPr>
    </w:lvl>
    <w:lvl w:ilvl="6" w:tplc="76FE8CE0">
      <w:numFmt w:val="bullet"/>
      <w:lvlText w:val="•"/>
      <w:lvlJc w:val="left"/>
      <w:pPr>
        <w:ind w:left="5806" w:hanging="240"/>
      </w:pPr>
      <w:rPr>
        <w:rFonts w:hint="default"/>
        <w:lang w:val="ru-RU" w:eastAsia="en-US" w:bidi="ar-SA"/>
      </w:rPr>
    </w:lvl>
    <w:lvl w:ilvl="7" w:tplc="E92E3CF8">
      <w:numFmt w:val="bullet"/>
      <w:lvlText w:val="•"/>
      <w:lvlJc w:val="left"/>
      <w:pPr>
        <w:ind w:left="6300" w:hanging="240"/>
      </w:pPr>
      <w:rPr>
        <w:rFonts w:hint="default"/>
        <w:lang w:val="ru-RU" w:eastAsia="en-US" w:bidi="ar-SA"/>
      </w:rPr>
    </w:lvl>
    <w:lvl w:ilvl="8" w:tplc="59A0A39E">
      <w:numFmt w:val="bullet"/>
      <w:lvlText w:val="•"/>
      <w:lvlJc w:val="left"/>
      <w:pPr>
        <w:ind w:left="6793" w:hanging="240"/>
      </w:pPr>
      <w:rPr>
        <w:rFonts w:hint="default"/>
        <w:lang w:val="ru-RU" w:eastAsia="en-US" w:bidi="ar-SA"/>
      </w:rPr>
    </w:lvl>
  </w:abstractNum>
  <w:abstractNum w:abstractNumId="20" w15:restartNumberingAfterBreak="0">
    <w:nsid w:val="6EEC273F"/>
    <w:multiLevelType w:val="hybridMultilevel"/>
    <w:tmpl w:val="BCCED7F0"/>
    <w:lvl w:ilvl="0" w:tplc="9190C280">
      <w:numFmt w:val="bullet"/>
      <w:lvlText w:val=""/>
      <w:lvlJc w:val="left"/>
      <w:pPr>
        <w:ind w:left="328" w:hanging="192"/>
      </w:pPr>
      <w:rPr>
        <w:rFonts w:ascii="Symbol" w:eastAsia="Symbol" w:hAnsi="Symbol" w:cs="Symbol" w:hint="default"/>
        <w:w w:val="100"/>
        <w:sz w:val="24"/>
        <w:szCs w:val="24"/>
        <w:lang w:val="ru-RU" w:eastAsia="en-US" w:bidi="ar-SA"/>
      </w:rPr>
    </w:lvl>
    <w:lvl w:ilvl="1" w:tplc="436613DC">
      <w:numFmt w:val="bullet"/>
      <w:lvlText w:val="•"/>
      <w:lvlJc w:val="left"/>
      <w:pPr>
        <w:ind w:left="1066" w:hanging="192"/>
      </w:pPr>
      <w:rPr>
        <w:rFonts w:hint="default"/>
        <w:lang w:val="ru-RU" w:eastAsia="en-US" w:bidi="ar-SA"/>
      </w:rPr>
    </w:lvl>
    <w:lvl w:ilvl="2" w:tplc="66343EFC">
      <w:numFmt w:val="bullet"/>
      <w:lvlText w:val="•"/>
      <w:lvlJc w:val="left"/>
      <w:pPr>
        <w:ind w:left="1812" w:hanging="192"/>
      </w:pPr>
      <w:rPr>
        <w:rFonts w:hint="default"/>
        <w:lang w:val="ru-RU" w:eastAsia="en-US" w:bidi="ar-SA"/>
      </w:rPr>
    </w:lvl>
    <w:lvl w:ilvl="3" w:tplc="D354E22C">
      <w:numFmt w:val="bullet"/>
      <w:lvlText w:val="•"/>
      <w:lvlJc w:val="left"/>
      <w:pPr>
        <w:ind w:left="2558" w:hanging="192"/>
      </w:pPr>
      <w:rPr>
        <w:rFonts w:hint="default"/>
        <w:lang w:val="ru-RU" w:eastAsia="en-US" w:bidi="ar-SA"/>
      </w:rPr>
    </w:lvl>
    <w:lvl w:ilvl="4" w:tplc="3DA0764A">
      <w:numFmt w:val="bullet"/>
      <w:lvlText w:val="•"/>
      <w:lvlJc w:val="left"/>
      <w:pPr>
        <w:ind w:left="3304" w:hanging="192"/>
      </w:pPr>
      <w:rPr>
        <w:rFonts w:hint="default"/>
        <w:lang w:val="ru-RU" w:eastAsia="en-US" w:bidi="ar-SA"/>
      </w:rPr>
    </w:lvl>
    <w:lvl w:ilvl="5" w:tplc="70E4778C">
      <w:numFmt w:val="bullet"/>
      <w:lvlText w:val="•"/>
      <w:lvlJc w:val="left"/>
      <w:pPr>
        <w:ind w:left="4050" w:hanging="192"/>
      </w:pPr>
      <w:rPr>
        <w:rFonts w:hint="default"/>
        <w:lang w:val="ru-RU" w:eastAsia="en-US" w:bidi="ar-SA"/>
      </w:rPr>
    </w:lvl>
    <w:lvl w:ilvl="6" w:tplc="A372DBFA">
      <w:numFmt w:val="bullet"/>
      <w:lvlText w:val="•"/>
      <w:lvlJc w:val="left"/>
      <w:pPr>
        <w:ind w:left="4796" w:hanging="192"/>
      </w:pPr>
      <w:rPr>
        <w:rFonts w:hint="default"/>
        <w:lang w:val="ru-RU" w:eastAsia="en-US" w:bidi="ar-SA"/>
      </w:rPr>
    </w:lvl>
    <w:lvl w:ilvl="7" w:tplc="854E8B08">
      <w:numFmt w:val="bullet"/>
      <w:lvlText w:val="•"/>
      <w:lvlJc w:val="left"/>
      <w:pPr>
        <w:ind w:left="5542" w:hanging="192"/>
      </w:pPr>
      <w:rPr>
        <w:rFonts w:hint="default"/>
        <w:lang w:val="ru-RU" w:eastAsia="en-US" w:bidi="ar-SA"/>
      </w:rPr>
    </w:lvl>
    <w:lvl w:ilvl="8" w:tplc="14CE7BDC">
      <w:numFmt w:val="bullet"/>
      <w:lvlText w:val="•"/>
      <w:lvlJc w:val="left"/>
      <w:pPr>
        <w:ind w:left="6288" w:hanging="192"/>
      </w:pPr>
      <w:rPr>
        <w:rFonts w:hint="default"/>
        <w:lang w:val="ru-RU" w:eastAsia="en-US" w:bidi="ar-SA"/>
      </w:rPr>
    </w:lvl>
  </w:abstractNum>
  <w:abstractNum w:abstractNumId="21" w15:restartNumberingAfterBreak="0">
    <w:nsid w:val="72E6422E"/>
    <w:multiLevelType w:val="hybridMultilevel"/>
    <w:tmpl w:val="2ED89D1E"/>
    <w:lvl w:ilvl="0" w:tplc="1FB23316">
      <w:start w:val="1"/>
      <w:numFmt w:val="decimal"/>
      <w:lvlText w:val="%1)"/>
      <w:lvlJc w:val="left"/>
      <w:pPr>
        <w:ind w:left="328" w:hanging="322"/>
      </w:pPr>
      <w:rPr>
        <w:rFonts w:ascii="Times New Roman" w:eastAsia="Times New Roman" w:hAnsi="Times New Roman" w:cs="Times New Roman" w:hint="default"/>
        <w:w w:val="99"/>
        <w:sz w:val="24"/>
        <w:szCs w:val="24"/>
        <w:lang w:val="ru-RU" w:eastAsia="en-US" w:bidi="ar-SA"/>
      </w:rPr>
    </w:lvl>
    <w:lvl w:ilvl="1" w:tplc="2ED27CB8">
      <w:numFmt w:val="bullet"/>
      <w:lvlText w:val="•"/>
      <w:lvlJc w:val="left"/>
      <w:pPr>
        <w:ind w:left="1066" w:hanging="322"/>
      </w:pPr>
      <w:rPr>
        <w:rFonts w:hint="default"/>
        <w:lang w:val="ru-RU" w:eastAsia="en-US" w:bidi="ar-SA"/>
      </w:rPr>
    </w:lvl>
    <w:lvl w:ilvl="2" w:tplc="0D445726">
      <w:numFmt w:val="bullet"/>
      <w:lvlText w:val="•"/>
      <w:lvlJc w:val="left"/>
      <w:pPr>
        <w:ind w:left="1812" w:hanging="322"/>
      </w:pPr>
      <w:rPr>
        <w:rFonts w:hint="default"/>
        <w:lang w:val="ru-RU" w:eastAsia="en-US" w:bidi="ar-SA"/>
      </w:rPr>
    </w:lvl>
    <w:lvl w:ilvl="3" w:tplc="C94CE7DA">
      <w:numFmt w:val="bullet"/>
      <w:lvlText w:val="•"/>
      <w:lvlJc w:val="left"/>
      <w:pPr>
        <w:ind w:left="2558" w:hanging="322"/>
      </w:pPr>
      <w:rPr>
        <w:rFonts w:hint="default"/>
        <w:lang w:val="ru-RU" w:eastAsia="en-US" w:bidi="ar-SA"/>
      </w:rPr>
    </w:lvl>
    <w:lvl w:ilvl="4" w:tplc="52863752">
      <w:numFmt w:val="bullet"/>
      <w:lvlText w:val="•"/>
      <w:lvlJc w:val="left"/>
      <w:pPr>
        <w:ind w:left="3304" w:hanging="322"/>
      </w:pPr>
      <w:rPr>
        <w:rFonts w:hint="default"/>
        <w:lang w:val="ru-RU" w:eastAsia="en-US" w:bidi="ar-SA"/>
      </w:rPr>
    </w:lvl>
    <w:lvl w:ilvl="5" w:tplc="8EE2E6A2">
      <w:numFmt w:val="bullet"/>
      <w:lvlText w:val="•"/>
      <w:lvlJc w:val="left"/>
      <w:pPr>
        <w:ind w:left="4050" w:hanging="322"/>
      </w:pPr>
      <w:rPr>
        <w:rFonts w:hint="default"/>
        <w:lang w:val="ru-RU" w:eastAsia="en-US" w:bidi="ar-SA"/>
      </w:rPr>
    </w:lvl>
    <w:lvl w:ilvl="6" w:tplc="6F2C5D46">
      <w:numFmt w:val="bullet"/>
      <w:lvlText w:val="•"/>
      <w:lvlJc w:val="left"/>
      <w:pPr>
        <w:ind w:left="4796" w:hanging="322"/>
      </w:pPr>
      <w:rPr>
        <w:rFonts w:hint="default"/>
        <w:lang w:val="ru-RU" w:eastAsia="en-US" w:bidi="ar-SA"/>
      </w:rPr>
    </w:lvl>
    <w:lvl w:ilvl="7" w:tplc="BB2AEDDA">
      <w:numFmt w:val="bullet"/>
      <w:lvlText w:val="•"/>
      <w:lvlJc w:val="left"/>
      <w:pPr>
        <w:ind w:left="5542" w:hanging="322"/>
      </w:pPr>
      <w:rPr>
        <w:rFonts w:hint="default"/>
        <w:lang w:val="ru-RU" w:eastAsia="en-US" w:bidi="ar-SA"/>
      </w:rPr>
    </w:lvl>
    <w:lvl w:ilvl="8" w:tplc="75D4E922">
      <w:numFmt w:val="bullet"/>
      <w:lvlText w:val="•"/>
      <w:lvlJc w:val="left"/>
      <w:pPr>
        <w:ind w:left="6288" w:hanging="322"/>
      </w:pPr>
      <w:rPr>
        <w:rFonts w:hint="default"/>
        <w:lang w:val="ru-RU" w:eastAsia="en-US" w:bidi="ar-SA"/>
      </w:rPr>
    </w:lvl>
  </w:abstractNum>
  <w:abstractNum w:abstractNumId="22" w15:restartNumberingAfterBreak="0">
    <w:nsid w:val="76916D49"/>
    <w:multiLevelType w:val="hybridMultilevel"/>
    <w:tmpl w:val="D6762A94"/>
    <w:lvl w:ilvl="0" w:tplc="F5207610">
      <w:numFmt w:val="bullet"/>
      <w:lvlText w:val="–"/>
      <w:lvlJc w:val="left"/>
      <w:pPr>
        <w:ind w:left="894" w:hanging="183"/>
      </w:pPr>
      <w:rPr>
        <w:rFonts w:ascii="Times New Roman" w:eastAsia="Times New Roman" w:hAnsi="Times New Roman" w:cs="Times New Roman" w:hint="default"/>
        <w:w w:val="100"/>
        <w:sz w:val="24"/>
        <w:szCs w:val="24"/>
        <w:lang w:val="ru-RU" w:eastAsia="en-US" w:bidi="ar-SA"/>
      </w:rPr>
    </w:lvl>
    <w:lvl w:ilvl="1" w:tplc="B6F67DE4">
      <w:numFmt w:val="bullet"/>
      <w:lvlText w:val="•"/>
      <w:lvlJc w:val="left"/>
      <w:pPr>
        <w:ind w:left="1588" w:hanging="183"/>
      </w:pPr>
      <w:rPr>
        <w:rFonts w:hint="default"/>
        <w:lang w:val="ru-RU" w:eastAsia="en-US" w:bidi="ar-SA"/>
      </w:rPr>
    </w:lvl>
    <w:lvl w:ilvl="2" w:tplc="3A6A5298">
      <w:numFmt w:val="bullet"/>
      <w:lvlText w:val="•"/>
      <w:lvlJc w:val="left"/>
      <w:pPr>
        <w:ind w:left="2276" w:hanging="183"/>
      </w:pPr>
      <w:rPr>
        <w:rFonts w:hint="default"/>
        <w:lang w:val="ru-RU" w:eastAsia="en-US" w:bidi="ar-SA"/>
      </w:rPr>
    </w:lvl>
    <w:lvl w:ilvl="3" w:tplc="1A62A284">
      <w:numFmt w:val="bullet"/>
      <w:lvlText w:val="•"/>
      <w:lvlJc w:val="left"/>
      <w:pPr>
        <w:ind w:left="2964" w:hanging="183"/>
      </w:pPr>
      <w:rPr>
        <w:rFonts w:hint="default"/>
        <w:lang w:val="ru-RU" w:eastAsia="en-US" w:bidi="ar-SA"/>
      </w:rPr>
    </w:lvl>
    <w:lvl w:ilvl="4" w:tplc="30189536">
      <w:numFmt w:val="bullet"/>
      <w:lvlText w:val="•"/>
      <w:lvlJc w:val="left"/>
      <w:pPr>
        <w:ind w:left="3652" w:hanging="183"/>
      </w:pPr>
      <w:rPr>
        <w:rFonts w:hint="default"/>
        <w:lang w:val="ru-RU" w:eastAsia="en-US" w:bidi="ar-SA"/>
      </w:rPr>
    </w:lvl>
    <w:lvl w:ilvl="5" w:tplc="C91A6578">
      <w:numFmt w:val="bullet"/>
      <w:lvlText w:val="•"/>
      <w:lvlJc w:val="left"/>
      <w:pPr>
        <w:ind w:left="4340" w:hanging="183"/>
      </w:pPr>
      <w:rPr>
        <w:rFonts w:hint="default"/>
        <w:lang w:val="ru-RU" w:eastAsia="en-US" w:bidi="ar-SA"/>
      </w:rPr>
    </w:lvl>
    <w:lvl w:ilvl="6" w:tplc="0ACA258E">
      <w:numFmt w:val="bullet"/>
      <w:lvlText w:val="•"/>
      <w:lvlJc w:val="left"/>
      <w:pPr>
        <w:ind w:left="5028" w:hanging="183"/>
      </w:pPr>
      <w:rPr>
        <w:rFonts w:hint="default"/>
        <w:lang w:val="ru-RU" w:eastAsia="en-US" w:bidi="ar-SA"/>
      </w:rPr>
    </w:lvl>
    <w:lvl w:ilvl="7" w:tplc="31AE6526">
      <w:numFmt w:val="bullet"/>
      <w:lvlText w:val="•"/>
      <w:lvlJc w:val="left"/>
      <w:pPr>
        <w:ind w:left="5716" w:hanging="183"/>
      </w:pPr>
      <w:rPr>
        <w:rFonts w:hint="default"/>
        <w:lang w:val="ru-RU" w:eastAsia="en-US" w:bidi="ar-SA"/>
      </w:rPr>
    </w:lvl>
    <w:lvl w:ilvl="8" w:tplc="B9DA87AC">
      <w:numFmt w:val="bullet"/>
      <w:lvlText w:val="•"/>
      <w:lvlJc w:val="left"/>
      <w:pPr>
        <w:ind w:left="6404" w:hanging="183"/>
      </w:pPr>
      <w:rPr>
        <w:rFonts w:hint="default"/>
        <w:lang w:val="ru-RU" w:eastAsia="en-US" w:bidi="ar-SA"/>
      </w:rPr>
    </w:lvl>
  </w:abstractNum>
  <w:abstractNum w:abstractNumId="23" w15:restartNumberingAfterBreak="0">
    <w:nsid w:val="7FC04798"/>
    <w:multiLevelType w:val="hybridMultilevel"/>
    <w:tmpl w:val="C096EDEA"/>
    <w:lvl w:ilvl="0" w:tplc="C71E84B2">
      <w:numFmt w:val="bullet"/>
      <w:lvlText w:val="-"/>
      <w:lvlJc w:val="left"/>
      <w:pPr>
        <w:ind w:left="328" w:hanging="240"/>
      </w:pPr>
      <w:rPr>
        <w:rFonts w:ascii="Times New Roman" w:eastAsia="Times New Roman" w:hAnsi="Times New Roman" w:cs="Times New Roman" w:hint="default"/>
        <w:w w:val="100"/>
        <w:sz w:val="22"/>
        <w:szCs w:val="22"/>
        <w:lang w:val="ru-RU" w:eastAsia="en-US" w:bidi="ar-SA"/>
      </w:rPr>
    </w:lvl>
    <w:lvl w:ilvl="1" w:tplc="07161FEC">
      <w:numFmt w:val="bullet"/>
      <w:lvlText w:val="•"/>
      <w:lvlJc w:val="left"/>
      <w:pPr>
        <w:ind w:left="1066" w:hanging="240"/>
      </w:pPr>
      <w:rPr>
        <w:rFonts w:hint="default"/>
        <w:lang w:val="ru-RU" w:eastAsia="en-US" w:bidi="ar-SA"/>
      </w:rPr>
    </w:lvl>
    <w:lvl w:ilvl="2" w:tplc="EC90D13C">
      <w:numFmt w:val="bullet"/>
      <w:lvlText w:val="•"/>
      <w:lvlJc w:val="left"/>
      <w:pPr>
        <w:ind w:left="1812" w:hanging="240"/>
      </w:pPr>
      <w:rPr>
        <w:rFonts w:hint="default"/>
        <w:lang w:val="ru-RU" w:eastAsia="en-US" w:bidi="ar-SA"/>
      </w:rPr>
    </w:lvl>
    <w:lvl w:ilvl="3" w:tplc="72582A1E">
      <w:numFmt w:val="bullet"/>
      <w:lvlText w:val="•"/>
      <w:lvlJc w:val="left"/>
      <w:pPr>
        <w:ind w:left="2558" w:hanging="240"/>
      </w:pPr>
      <w:rPr>
        <w:rFonts w:hint="default"/>
        <w:lang w:val="ru-RU" w:eastAsia="en-US" w:bidi="ar-SA"/>
      </w:rPr>
    </w:lvl>
    <w:lvl w:ilvl="4" w:tplc="372280EC">
      <w:numFmt w:val="bullet"/>
      <w:lvlText w:val="•"/>
      <w:lvlJc w:val="left"/>
      <w:pPr>
        <w:ind w:left="3304" w:hanging="240"/>
      </w:pPr>
      <w:rPr>
        <w:rFonts w:hint="default"/>
        <w:lang w:val="ru-RU" w:eastAsia="en-US" w:bidi="ar-SA"/>
      </w:rPr>
    </w:lvl>
    <w:lvl w:ilvl="5" w:tplc="6D8C226A">
      <w:numFmt w:val="bullet"/>
      <w:lvlText w:val="•"/>
      <w:lvlJc w:val="left"/>
      <w:pPr>
        <w:ind w:left="4050" w:hanging="240"/>
      </w:pPr>
      <w:rPr>
        <w:rFonts w:hint="default"/>
        <w:lang w:val="ru-RU" w:eastAsia="en-US" w:bidi="ar-SA"/>
      </w:rPr>
    </w:lvl>
    <w:lvl w:ilvl="6" w:tplc="873A564A">
      <w:numFmt w:val="bullet"/>
      <w:lvlText w:val="•"/>
      <w:lvlJc w:val="left"/>
      <w:pPr>
        <w:ind w:left="4796" w:hanging="240"/>
      </w:pPr>
      <w:rPr>
        <w:rFonts w:hint="default"/>
        <w:lang w:val="ru-RU" w:eastAsia="en-US" w:bidi="ar-SA"/>
      </w:rPr>
    </w:lvl>
    <w:lvl w:ilvl="7" w:tplc="AE3228D8">
      <w:numFmt w:val="bullet"/>
      <w:lvlText w:val="•"/>
      <w:lvlJc w:val="left"/>
      <w:pPr>
        <w:ind w:left="5542" w:hanging="240"/>
      </w:pPr>
      <w:rPr>
        <w:rFonts w:hint="default"/>
        <w:lang w:val="ru-RU" w:eastAsia="en-US" w:bidi="ar-SA"/>
      </w:rPr>
    </w:lvl>
    <w:lvl w:ilvl="8" w:tplc="612A1C20">
      <w:numFmt w:val="bullet"/>
      <w:lvlText w:val="•"/>
      <w:lvlJc w:val="left"/>
      <w:pPr>
        <w:ind w:left="6288" w:hanging="240"/>
      </w:pPr>
      <w:rPr>
        <w:rFonts w:hint="default"/>
        <w:lang w:val="ru-RU" w:eastAsia="en-US" w:bidi="ar-SA"/>
      </w:rPr>
    </w:lvl>
  </w:abstractNum>
  <w:num w:numId="1" w16cid:durableId="940912136">
    <w:abstractNumId w:val="4"/>
  </w:num>
  <w:num w:numId="2" w16cid:durableId="980697901">
    <w:abstractNumId w:val="10"/>
  </w:num>
  <w:num w:numId="3" w16cid:durableId="2027825978">
    <w:abstractNumId w:val="17"/>
  </w:num>
  <w:num w:numId="4" w16cid:durableId="1358387992">
    <w:abstractNumId w:val="9"/>
  </w:num>
  <w:num w:numId="5" w16cid:durableId="1538858655">
    <w:abstractNumId w:val="20"/>
  </w:num>
  <w:num w:numId="6" w16cid:durableId="1317228110">
    <w:abstractNumId w:val="2"/>
  </w:num>
  <w:num w:numId="7" w16cid:durableId="1171336981">
    <w:abstractNumId w:val="15"/>
  </w:num>
  <w:num w:numId="8" w16cid:durableId="574634220">
    <w:abstractNumId w:val="5"/>
  </w:num>
  <w:num w:numId="9" w16cid:durableId="914972000">
    <w:abstractNumId w:val="22"/>
  </w:num>
  <w:num w:numId="10" w16cid:durableId="2028410362">
    <w:abstractNumId w:val="0"/>
  </w:num>
  <w:num w:numId="11" w16cid:durableId="664435301">
    <w:abstractNumId w:val="13"/>
  </w:num>
  <w:num w:numId="12" w16cid:durableId="201552020">
    <w:abstractNumId w:val="14"/>
  </w:num>
  <w:num w:numId="13" w16cid:durableId="1494446717">
    <w:abstractNumId w:val="6"/>
  </w:num>
  <w:num w:numId="14" w16cid:durableId="1066953972">
    <w:abstractNumId w:val="23"/>
  </w:num>
  <w:num w:numId="15" w16cid:durableId="2093157421">
    <w:abstractNumId w:val="11"/>
  </w:num>
  <w:num w:numId="16" w16cid:durableId="909659845">
    <w:abstractNumId w:val="1"/>
  </w:num>
  <w:num w:numId="17" w16cid:durableId="888078839">
    <w:abstractNumId w:val="21"/>
  </w:num>
  <w:num w:numId="18" w16cid:durableId="1349865816">
    <w:abstractNumId w:val="8"/>
  </w:num>
  <w:num w:numId="19" w16cid:durableId="615336835">
    <w:abstractNumId w:val="16"/>
  </w:num>
  <w:num w:numId="20" w16cid:durableId="144057379">
    <w:abstractNumId w:val="7"/>
  </w:num>
  <w:num w:numId="21" w16cid:durableId="1851795051">
    <w:abstractNumId w:val="3"/>
  </w:num>
  <w:num w:numId="22" w16cid:durableId="771819077">
    <w:abstractNumId w:val="12"/>
  </w:num>
  <w:num w:numId="23" w16cid:durableId="796417350">
    <w:abstractNumId w:val="18"/>
  </w:num>
  <w:num w:numId="24" w16cid:durableId="15874167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43DA"/>
    <w:rsid w:val="00100527"/>
    <w:rsid w:val="001227B6"/>
    <w:rsid w:val="001A1BC3"/>
    <w:rsid w:val="002A1C9E"/>
    <w:rsid w:val="002A5296"/>
    <w:rsid w:val="002A70C2"/>
    <w:rsid w:val="00303B2C"/>
    <w:rsid w:val="0038617A"/>
    <w:rsid w:val="003D5103"/>
    <w:rsid w:val="005D71E3"/>
    <w:rsid w:val="00671D4C"/>
    <w:rsid w:val="006C564C"/>
    <w:rsid w:val="006D488E"/>
    <w:rsid w:val="008F55B0"/>
    <w:rsid w:val="00AC43DA"/>
    <w:rsid w:val="00BA495A"/>
    <w:rsid w:val="00C50798"/>
    <w:rsid w:val="00D47E73"/>
    <w:rsid w:val="00E15906"/>
    <w:rsid w:val="00E63473"/>
    <w:rsid w:val="00FC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DE7ECA9"/>
  <w15:docId w15:val="{E497D324-7297-4959-BEE5-5AC3EA2D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9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68" w:hanging="241"/>
    </w:pPr>
    <w:rPr>
      <w:sz w:val="24"/>
      <w:szCs w:val="24"/>
    </w:rPr>
  </w:style>
  <w:style w:type="paragraph" w:styleId="a3">
    <w:name w:val="Body Text"/>
    <w:basedOn w:val="a"/>
    <w:uiPriority w:val="1"/>
    <w:qFormat/>
    <w:pPr>
      <w:ind w:left="328" w:firstLine="564"/>
      <w:jc w:val="both"/>
    </w:pPr>
    <w:rPr>
      <w:sz w:val="24"/>
      <w:szCs w:val="24"/>
    </w:rPr>
  </w:style>
  <w:style w:type="paragraph" w:styleId="a4">
    <w:name w:val="Title"/>
    <w:basedOn w:val="a"/>
    <w:link w:val="a5"/>
    <w:uiPriority w:val="10"/>
    <w:qFormat/>
    <w:pPr>
      <w:spacing w:before="85"/>
      <w:ind w:left="1090" w:right="556"/>
      <w:jc w:val="center"/>
    </w:pPr>
    <w:rPr>
      <w:b/>
      <w:bCs/>
      <w:sz w:val="36"/>
      <w:szCs w:val="36"/>
    </w:rPr>
  </w:style>
  <w:style w:type="paragraph" w:styleId="a6">
    <w:name w:val="List Paragraph"/>
    <w:basedOn w:val="a"/>
    <w:uiPriority w:val="1"/>
    <w:qFormat/>
    <w:pPr>
      <w:ind w:left="328" w:firstLine="564"/>
      <w:jc w:val="both"/>
    </w:pPr>
  </w:style>
  <w:style w:type="paragraph" w:customStyle="1" w:styleId="TableParagraph">
    <w:name w:val="Table Paragraph"/>
    <w:basedOn w:val="a"/>
    <w:uiPriority w:val="1"/>
    <w:qFormat/>
    <w:pPr>
      <w:ind w:left="112"/>
    </w:pPr>
  </w:style>
  <w:style w:type="character" w:customStyle="1" w:styleId="a5">
    <w:name w:val="Заголовок Знак"/>
    <w:basedOn w:val="a0"/>
    <w:link w:val="a4"/>
    <w:uiPriority w:val="10"/>
    <w:rsid w:val="001227B6"/>
    <w:rPr>
      <w:rFonts w:ascii="Times New Roman" w:eastAsia="Times New Roman" w:hAnsi="Times New Roman" w:cs="Times New Roman"/>
      <w:b/>
      <w:bCs/>
      <w:sz w:val="36"/>
      <w:szCs w:val="36"/>
      <w:lang w:val="ru-RU"/>
    </w:rPr>
  </w:style>
  <w:style w:type="character" w:styleId="a7">
    <w:name w:val="Hyperlink"/>
    <w:basedOn w:val="a0"/>
    <w:uiPriority w:val="99"/>
    <w:semiHidden/>
    <w:unhideWhenUsed/>
    <w:rsid w:val="0038617A"/>
    <w:rPr>
      <w:color w:val="0000FF" w:themeColor="hyperlink"/>
      <w:u w:val="single"/>
    </w:rPr>
  </w:style>
  <w:style w:type="paragraph" w:styleId="a8">
    <w:name w:val="TOC Heading"/>
    <w:basedOn w:val="1"/>
    <w:next w:val="a"/>
    <w:uiPriority w:val="39"/>
    <w:semiHidden/>
    <w:unhideWhenUsed/>
    <w:qFormat/>
    <w:rsid w:val="006C564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3424">
      <w:bodyDiv w:val="1"/>
      <w:marLeft w:val="0"/>
      <w:marRight w:val="0"/>
      <w:marTop w:val="0"/>
      <w:marBottom w:val="0"/>
      <w:divBdr>
        <w:top w:val="none" w:sz="0" w:space="0" w:color="auto"/>
        <w:left w:val="none" w:sz="0" w:space="0" w:color="auto"/>
        <w:bottom w:val="none" w:sz="0" w:space="0" w:color="auto"/>
        <w:right w:val="none" w:sz="0" w:space="0" w:color="auto"/>
      </w:divBdr>
    </w:div>
    <w:div w:id="1608541863">
      <w:bodyDiv w:val="1"/>
      <w:marLeft w:val="0"/>
      <w:marRight w:val="0"/>
      <w:marTop w:val="0"/>
      <w:marBottom w:val="0"/>
      <w:divBdr>
        <w:top w:val="none" w:sz="0" w:space="0" w:color="auto"/>
        <w:left w:val="none" w:sz="0" w:space="0" w:color="auto"/>
        <w:bottom w:val="none" w:sz="0" w:space="0" w:color="auto"/>
        <w:right w:val="none" w:sz="0" w:space="0" w:color="auto"/>
      </w:divBdr>
    </w:div>
    <w:div w:id="1668897410">
      <w:bodyDiv w:val="1"/>
      <w:marLeft w:val="0"/>
      <w:marRight w:val="0"/>
      <w:marTop w:val="0"/>
      <w:marBottom w:val="0"/>
      <w:divBdr>
        <w:top w:val="none" w:sz="0" w:space="0" w:color="auto"/>
        <w:left w:val="none" w:sz="0" w:space="0" w:color="auto"/>
        <w:bottom w:val="none" w:sz="0" w:space="0" w:color="auto"/>
        <w:right w:val="none" w:sz="0" w:space="0" w:color="auto"/>
      </w:divBdr>
    </w:div>
    <w:div w:id="1876655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stgen.r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36</Pages>
  <Words>8129</Words>
  <Characters>46338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dc:creator>
  <cp:lastModifiedBy>Халилова Лейсан</cp:lastModifiedBy>
  <cp:revision>11</cp:revision>
  <dcterms:created xsi:type="dcterms:W3CDTF">2023-05-02T19:11:00Z</dcterms:created>
  <dcterms:modified xsi:type="dcterms:W3CDTF">2024-02-21T12:16:00Z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2019</vt:lpwstr>
  </property>
  <property fmtid="{D5CDD505-2E9C-101B-9397-08002B2CF9AE}" pid="4" name="LastSaved">
    <vt:filetime>2023-05-02T00:00:00Z</vt:filetime>
  </property>
</Properties>
</file>